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5C1" w14:textId="77777777" w:rsidR="007D4903" w:rsidRDefault="007D4903">
      <w:pPr>
        <w:pStyle w:val="BodyText"/>
        <w:tabs>
          <w:tab w:val="left" w:pos="2835"/>
        </w:tabs>
        <w:rPr>
          <w:rFonts w:asciiTheme="minorHAnsi" w:hAnsiTheme="minorHAnsi" w:cstheme="minorHAnsi"/>
        </w:rPr>
      </w:pPr>
    </w:p>
    <w:p w14:paraId="5AD335C2" w14:textId="77777777" w:rsidR="007D4903" w:rsidRDefault="00C8659C">
      <w:pPr>
        <w:pStyle w:val="Title"/>
        <w:rPr>
          <w:rFonts w:asciiTheme="minorHAnsi" w:hAnsiTheme="minorHAnsi" w:cstheme="minorBidi"/>
          <w:color w:val="0070C0"/>
        </w:rPr>
      </w:pPr>
      <w:r>
        <w:rPr>
          <w:rFonts w:asciiTheme="minorHAnsi" w:hAnsiTheme="minorHAnsi" w:cstheme="minorBidi"/>
          <w:color w:val="0070C0"/>
        </w:rPr>
        <w:t>Procedure for endorsing MCP MSR service providers</w:t>
      </w:r>
    </w:p>
    <w:p w14:paraId="5AD335C3" w14:textId="77777777" w:rsidR="007D4903" w:rsidRDefault="00C8659C">
      <w:pPr>
        <w:pStyle w:val="Title"/>
        <w:jc w:val="left"/>
        <w:rPr>
          <w:rFonts w:asciiTheme="minorHAnsi" w:hAnsiTheme="minorHAnsi" w:cstheme="minorHAnsi"/>
          <w:color w:val="0070C0"/>
          <w:sz w:val="24"/>
          <w:szCs w:val="24"/>
          <w:lang w:eastAsia="ko-KR"/>
        </w:rPr>
      </w:pPr>
      <w:r>
        <w:rPr>
          <w:rFonts w:asciiTheme="minorHAnsi" w:hAnsiTheme="minorHAnsi" w:cstheme="minorHAnsi"/>
          <w:color w:val="0070C0"/>
          <w:sz w:val="24"/>
          <w:szCs w:val="24"/>
          <w:lang w:eastAsia="ko-KR"/>
        </w:rPr>
        <w:t>Document Revision</w:t>
      </w:r>
    </w:p>
    <w:tbl>
      <w:tblPr>
        <w:tblW w:w="9421" w:type="dxa"/>
        <w:tblLayout w:type="fixed"/>
        <w:tblLook w:val="04A0" w:firstRow="1" w:lastRow="0" w:firstColumn="1" w:lastColumn="0" w:noHBand="0" w:noVBand="1"/>
      </w:tblPr>
      <w:tblGrid>
        <w:gridCol w:w="1124"/>
        <w:gridCol w:w="1988"/>
        <w:gridCol w:w="4421"/>
        <w:gridCol w:w="1888"/>
      </w:tblGrid>
      <w:tr w:rsidR="007D4903" w14:paraId="5AD335C5" w14:textId="77777777">
        <w:trPr>
          <w:trHeight w:val="487"/>
        </w:trPr>
        <w:tc>
          <w:tcPr>
            <w:tcW w:w="9421" w:type="dxa"/>
            <w:gridSpan w:val="4"/>
            <w:tcBorders>
              <w:top w:val="single" w:sz="4" w:space="0" w:color="000000"/>
              <w:left w:val="single" w:sz="4" w:space="0" w:color="000000"/>
              <w:bottom w:val="single" w:sz="4" w:space="0" w:color="000000"/>
              <w:right w:val="single" w:sz="4" w:space="0" w:color="000000"/>
            </w:tcBorders>
            <w:shd w:val="clear" w:color="auto" w:fill="8DB3E2"/>
          </w:tcPr>
          <w:p w14:paraId="5AD335C4" w14:textId="77777777" w:rsidR="007D4903" w:rsidRDefault="00C8659C">
            <w:pPr>
              <w:pStyle w:val="Title"/>
              <w:widowControl w:val="0"/>
              <w:jc w:val="left"/>
              <w:rPr>
                <w:rFonts w:asciiTheme="minorHAnsi" w:hAnsiTheme="minorHAnsi" w:cstheme="minorBidi"/>
                <w:color w:val="FFFFFF"/>
                <w:kern w:val="0"/>
                <w:sz w:val="22"/>
                <w:szCs w:val="22"/>
                <w:lang w:eastAsia="ko-KR"/>
              </w:rPr>
            </w:pPr>
            <w:r>
              <w:rPr>
                <w:rFonts w:asciiTheme="minorHAnsi" w:hAnsiTheme="minorHAnsi" w:cstheme="minorBidi"/>
                <w:color w:val="FFFFFF"/>
                <w:kern w:val="0"/>
                <w:sz w:val="22"/>
                <w:szCs w:val="22"/>
                <w:lang w:eastAsia="ko-KR"/>
              </w:rPr>
              <w:t>ID: MCP Gen 9</w:t>
            </w:r>
          </w:p>
        </w:tc>
      </w:tr>
      <w:tr w:rsidR="007D4903" w14:paraId="5AD335CA" w14:textId="77777777">
        <w:tc>
          <w:tcPr>
            <w:tcW w:w="1124" w:type="dxa"/>
            <w:tcBorders>
              <w:top w:val="single" w:sz="4" w:space="0" w:color="000000"/>
              <w:left w:val="single" w:sz="4" w:space="0" w:color="000000"/>
              <w:bottom w:val="single" w:sz="4" w:space="0" w:color="000000"/>
              <w:right w:val="single" w:sz="4" w:space="0" w:color="000000"/>
            </w:tcBorders>
            <w:shd w:val="clear" w:color="auto" w:fill="8DB3E2"/>
          </w:tcPr>
          <w:p w14:paraId="5AD335C6" w14:textId="77777777" w:rsidR="007D4903" w:rsidRDefault="00C8659C">
            <w:pPr>
              <w:pStyle w:val="Title"/>
              <w:widowControl w:val="0"/>
              <w:jc w:val="left"/>
              <w:rPr>
                <w:rFonts w:asciiTheme="minorHAnsi" w:hAnsiTheme="minorHAnsi" w:cstheme="minorHAnsi"/>
                <w:bCs w:val="0"/>
                <w:color w:val="FFFFFF"/>
                <w:kern w:val="0"/>
                <w:sz w:val="22"/>
                <w:szCs w:val="22"/>
              </w:rPr>
            </w:pPr>
            <w:r>
              <w:rPr>
                <w:rFonts w:asciiTheme="minorHAnsi" w:hAnsiTheme="minorHAnsi" w:cstheme="minorHAnsi"/>
                <w:bCs w:val="0"/>
                <w:color w:val="FFFFFF"/>
                <w:kern w:val="0"/>
                <w:sz w:val="22"/>
                <w:szCs w:val="22"/>
              </w:rPr>
              <w:t>Version</w:t>
            </w:r>
          </w:p>
        </w:tc>
        <w:tc>
          <w:tcPr>
            <w:tcW w:w="1988" w:type="dxa"/>
            <w:tcBorders>
              <w:top w:val="single" w:sz="4" w:space="0" w:color="000000"/>
              <w:left w:val="single" w:sz="4" w:space="0" w:color="000000"/>
              <w:bottom w:val="single" w:sz="4" w:space="0" w:color="000000"/>
              <w:right w:val="single" w:sz="4" w:space="0" w:color="000000"/>
            </w:tcBorders>
            <w:shd w:val="clear" w:color="auto" w:fill="8DB3E2"/>
          </w:tcPr>
          <w:p w14:paraId="5AD335C7" w14:textId="77777777" w:rsidR="007D4903" w:rsidRDefault="00C8659C">
            <w:pPr>
              <w:pStyle w:val="Title"/>
              <w:widowControl w:val="0"/>
              <w:jc w:val="left"/>
              <w:rPr>
                <w:rFonts w:asciiTheme="minorHAnsi" w:hAnsiTheme="minorHAnsi" w:cstheme="minorHAnsi"/>
                <w:bCs w:val="0"/>
                <w:color w:val="FFFFFF"/>
                <w:kern w:val="0"/>
                <w:sz w:val="22"/>
                <w:szCs w:val="22"/>
              </w:rPr>
            </w:pPr>
            <w:r>
              <w:rPr>
                <w:rFonts w:asciiTheme="minorHAnsi" w:hAnsiTheme="minorHAnsi" w:cstheme="minorHAnsi"/>
                <w:bCs w:val="0"/>
                <w:color w:val="FFFFFF"/>
                <w:kern w:val="0"/>
                <w:sz w:val="22"/>
                <w:szCs w:val="22"/>
              </w:rPr>
              <w:t>Author(s)</w:t>
            </w:r>
          </w:p>
        </w:tc>
        <w:tc>
          <w:tcPr>
            <w:tcW w:w="4421" w:type="dxa"/>
            <w:tcBorders>
              <w:top w:val="single" w:sz="4" w:space="0" w:color="000000"/>
              <w:left w:val="single" w:sz="4" w:space="0" w:color="000000"/>
              <w:bottom w:val="single" w:sz="4" w:space="0" w:color="000000"/>
              <w:right w:val="single" w:sz="4" w:space="0" w:color="000000"/>
            </w:tcBorders>
            <w:shd w:val="clear" w:color="auto" w:fill="8DB3E2"/>
          </w:tcPr>
          <w:p w14:paraId="5AD335C8" w14:textId="77777777" w:rsidR="007D4903" w:rsidRDefault="00C8659C">
            <w:pPr>
              <w:pStyle w:val="Title"/>
              <w:widowControl w:val="0"/>
              <w:jc w:val="left"/>
              <w:rPr>
                <w:rFonts w:asciiTheme="minorHAnsi" w:hAnsiTheme="minorHAnsi" w:cstheme="minorHAnsi"/>
                <w:bCs w:val="0"/>
                <w:color w:val="FFFFFF"/>
                <w:kern w:val="0"/>
                <w:sz w:val="22"/>
                <w:szCs w:val="22"/>
              </w:rPr>
            </w:pPr>
            <w:r>
              <w:rPr>
                <w:rFonts w:asciiTheme="minorHAnsi" w:hAnsiTheme="minorHAnsi" w:cstheme="minorHAnsi"/>
                <w:bCs w:val="0"/>
                <w:color w:val="FFFFFF"/>
                <w:kern w:val="0"/>
                <w:sz w:val="22"/>
                <w:szCs w:val="22"/>
              </w:rPr>
              <w:t>Nature of change</w:t>
            </w:r>
          </w:p>
        </w:tc>
        <w:tc>
          <w:tcPr>
            <w:tcW w:w="1888" w:type="dxa"/>
            <w:tcBorders>
              <w:top w:val="single" w:sz="4" w:space="0" w:color="000000"/>
              <w:left w:val="single" w:sz="4" w:space="0" w:color="000000"/>
              <w:bottom w:val="single" w:sz="4" w:space="0" w:color="000000"/>
              <w:right w:val="single" w:sz="4" w:space="0" w:color="000000"/>
            </w:tcBorders>
            <w:shd w:val="clear" w:color="auto" w:fill="8DB3E2"/>
          </w:tcPr>
          <w:p w14:paraId="5AD335C9" w14:textId="77777777" w:rsidR="007D4903" w:rsidRDefault="00C8659C">
            <w:pPr>
              <w:pStyle w:val="Title"/>
              <w:widowControl w:val="0"/>
              <w:jc w:val="left"/>
              <w:rPr>
                <w:rFonts w:asciiTheme="minorHAnsi" w:hAnsiTheme="minorHAnsi" w:cstheme="minorHAnsi"/>
                <w:color w:val="FFFFFF"/>
                <w:sz w:val="22"/>
                <w:szCs w:val="22"/>
              </w:rPr>
            </w:pPr>
            <w:r>
              <w:rPr>
                <w:rFonts w:asciiTheme="minorHAnsi" w:hAnsiTheme="minorHAnsi" w:cstheme="minorHAnsi"/>
                <w:bCs w:val="0"/>
                <w:color w:val="FFFFFF"/>
                <w:kern w:val="0"/>
                <w:sz w:val="22"/>
                <w:szCs w:val="22"/>
              </w:rPr>
              <w:t xml:space="preserve"> Date of adoption</w:t>
            </w:r>
          </w:p>
        </w:tc>
      </w:tr>
      <w:tr w:rsidR="007D4903" w14:paraId="5AD335CF" w14:textId="77777777">
        <w:tc>
          <w:tcPr>
            <w:tcW w:w="1124" w:type="dxa"/>
            <w:tcBorders>
              <w:top w:val="single" w:sz="4" w:space="0" w:color="000000"/>
              <w:left w:val="single" w:sz="4" w:space="0" w:color="000000"/>
              <w:bottom w:val="single" w:sz="4" w:space="0" w:color="000000"/>
              <w:right w:val="single" w:sz="4" w:space="0" w:color="000000"/>
            </w:tcBorders>
          </w:tcPr>
          <w:p w14:paraId="5AD335CB" w14:textId="77777777" w:rsidR="007D4903" w:rsidRDefault="00C8659C">
            <w:pPr>
              <w:pStyle w:val="BodyText"/>
              <w:widowControl w:val="0"/>
              <w:rPr>
                <w:rFonts w:asciiTheme="minorHAnsi" w:hAnsiTheme="minorHAnsi" w:cstheme="minorBidi"/>
              </w:rPr>
            </w:pPr>
            <w:r>
              <w:rPr>
                <w:rFonts w:asciiTheme="minorHAnsi" w:hAnsiTheme="minorHAnsi" w:cstheme="minorBidi"/>
              </w:rPr>
              <w:t>x</w:t>
            </w:r>
          </w:p>
        </w:tc>
        <w:tc>
          <w:tcPr>
            <w:tcW w:w="1988" w:type="dxa"/>
            <w:tcBorders>
              <w:top w:val="single" w:sz="4" w:space="0" w:color="000000"/>
              <w:left w:val="single" w:sz="4" w:space="0" w:color="000000"/>
              <w:bottom w:val="single" w:sz="4" w:space="0" w:color="000000"/>
              <w:right w:val="single" w:sz="4" w:space="0" w:color="000000"/>
            </w:tcBorders>
          </w:tcPr>
          <w:p w14:paraId="5AD335CC" w14:textId="77777777" w:rsidR="007D4903" w:rsidRDefault="00C8659C">
            <w:pPr>
              <w:pStyle w:val="BodyText"/>
              <w:widowControl w:val="0"/>
              <w:rPr>
                <w:rFonts w:asciiTheme="minorHAnsi" w:hAnsiTheme="minorHAnsi" w:cstheme="minorBidi"/>
              </w:rPr>
            </w:pPr>
            <w:r>
              <w:rPr>
                <w:rFonts w:asciiTheme="minorHAnsi" w:hAnsiTheme="minorHAnsi" w:cstheme="minorBidi"/>
              </w:rPr>
              <w:t>Thomas Christensen, Jakob Svenningsen</w:t>
            </w:r>
          </w:p>
        </w:tc>
        <w:tc>
          <w:tcPr>
            <w:tcW w:w="4421" w:type="dxa"/>
            <w:tcBorders>
              <w:top w:val="single" w:sz="4" w:space="0" w:color="000000"/>
              <w:left w:val="single" w:sz="4" w:space="0" w:color="000000"/>
              <w:bottom w:val="single" w:sz="4" w:space="0" w:color="000000"/>
              <w:right w:val="single" w:sz="4" w:space="0" w:color="000000"/>
            </w:tcBorders>
          </w:tcPr>
          <w:p w14:paraId="5AD335CD" w14:textId="77777777" w:rsidR="007D4903" w:rsidRDefault="00C8659C">
            <w:pPr>
              <w:pStyle w:val="BodyText"/>
              <w:widowControl w:val="0"/>
              <w:rPr>
                <w:rFonts w:asciiTheme="minorHAnsi" w:hAnsiTheme="minorHAnsi" w:cstheme="minorHAnsi"/>
              </w:rPr>
            </w:pPr>
            <w:r>
              <w:rPr>
                <w:rFonts w:asciiTheme="minorHAnsi" w:hAnsiTheme="minorHAnsi" w:cstheme="minorHAnsi"/>
              </w:rPr>
              <w:t>Initial version</w:t>
            </w:r>
          </w:p>
        </w:tc>
        <w:tc>
          <w:tcPr>
            <w:tcW w:w="1888" w:type="dxa"/>
            <w:tcBorders>
              <w:top w:val="single" w:sz="4" w:space="0" w:color="000000"/>
              <w:left w:val="single" w:sz="4" w:space="0" w:color="000000"/>
              <w:bottom w:val="single" w:sz="4" w:space="0" w:color="000000"/>
              <w:right w:val="single" w:sz="4" w:space="0" w:color="000000"/>
            </w:tcBorders>
          </w:tcPr>
          <w:p w14:paraId="5AD335CE" w14:textId="77777777" w:rsidR="007D4903" w:rsidRDefault="007D4903">
            <w:pPr>
              <w:pStyle w:val="BodyText"/>
              <w:widowControl w:val="0"/>
              <w:rPr>
                <w:rFonts w:asciiTheme="minorHAnsi" w:hAnsiTheme="minorHAnsi" w:cstheme="minorHAnsi"/>
              </w:rPr>
            </w:pPr>
          </w:p>
        </w:tc>
      </w:tr>
    </w:tbl>
    <w:p w14:paraId="5AD335D0" w14:textId="77777777" w:rsidR="007D4903" w:rsidRDefault="007D4903"/>
    <w:p w14:paraId="5AD335D1" w14:textId="77777777" w:rsidR="007D4903" w:rsidRDefault="00C8659C">
      <w:pPr>
        <w:pStyle w:val="Title"/>
        <w:rPr>
          <w:rFonts w:asciiTheme="minorHAnsi" w:hAnsiTheme="minorHAnsi" w:cstheme="minorBidi"/>
        </w:rPr>
      </w:pPr>
      <w:r>
        <w:t>Purpose</w:t>
      </w:r>
    </w:p>
    <w:p w14:paraId="5AD335D2" w14:textId="77777777" w:rsidR="007D4903" w:rsidRDefault="00C8659C">
      <w:pPr>
        <w:pStyle w:val="BodyText"/>
        <w:rPr>
          <w:rFonts w:asciiTheme="minorHAnsi" w:hAnsiTheme="minorHAnsi" w:cstheme="minorBidi"/>
          <w:sz w:val="24"/>
          <w:szCs w:val="24"/>
          <w:lang w:eastAsia="de-DE"/>
        </w:rPr>
      </w:pPr>
      <w:r>
        <w:rPr>
          <w:rFonts w:asciiTheme="minorHAnsi" w:hAnsiTheme="minorHAnsi" w:cstheme="minorBidi"/>
          <w:sz w:val="24"/>
          <w:szCs w:val="24"/>
          <w:lang w:eastAsia="de-DE"/>
        </w:rPr>
        <w:t>This document defines the mandatory process for endorsing MCP MSR service providers. It establishes responsibilities, sequencing, and evaluation criteria to ensure that only MCP MSR service  providers adhering to MCP security, privacy and interoperability requirements are trusted.</w:t>
      </w:r>
    </w:p>
    <w:p w14:paraId="5AD335D3" w14:textId="77777777" w:rsidR="007D4903" w:rsidRDefault="00C8659C">
      <w:pPr>
        <w:pStyle w:val="Heading1"/>
        <w:rPr>
          <w:rFonts w:asciiTheme="minorHAnsi" w:hAnsiTheme="minorHAnsi" w:cstheme="minorHAnsi"/>
        </w:rPr>
      </w:pPr>
      <w:r>
        <w:rPr>
          <w:rFonts w:cstheme="minorHAnsi"/>
        </w:rPr>
        <w:t>Roles and responsibilities</w:t>
      </w:r>
    </w:p>
    <w:tbl>
      <w:tblPr>
        <w:tblStyle w:val="GridTable4-Accent5"/>
        <w:tblW w:w="9771" w:type="dxa"/>
        <w:tblLayout w:type="fixed"/>
        <w:tblLook w:val="04A0" w:firstRow="1" w:lastRow="0" w:firstColumn="1" w:lastColumn="0" w:noHBand="0" w:noVBand="1"/>
      </w:tblPr>
      <w:tblGrid>
        <w:gridCol w:w="1424"/>
        <w:gridCol w:w="8347"/>
      </w:tblGrid>
      <w:tr w:rsidR="007D4903" w14:paraId="5AD335D6" w14:textId="77777777" w:rsidTr="007D4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4" w:type="dxa"/>
            <w:tcBorders>
              <w:top w:val="single" w:sz="4" w:space="0" w:color="5B9BD5"/>
              <w:left w:val="single" w:sz="4" w:space="0" w:color="5B9BD5"/>
              <w:bottom w:val="single" w:sz="4" w:space="0" w:color="5B9BD5"/>
              <w:right w:val="single" w:sz="4" w:space="0" w:color="5B9BD5"/>
            </w:tcBorders>
          </w:tcPr>
          <w:p w14:paraId="5AD335D4" w14:textId="77777777" w:rsidR="007D4903" w:rsidRDefault="00C8659C">
            <w:pPr>
              <w:pStyle w:val="BodyText"/>
              <w:rPr>
                <w:rFonts w:asciiTheme="minorHAnsi" w:hAnsiTheme="minorHAnsi" w:cstheme="minorHAnsi"/>
                <w:sz w:val="24"/>
                <w:szCs w:val="24"/>
                <w:lang w:eastAsia="de-DE"/>
              </w:rPr>
            </w:pPr>
            <w:r>
              <w:rPr>
                <w:rFonts w:asciiTheme="minorHAnsi" w:hAnsiTheme="minorHAnsi" w:cstheme="minorHAnsi"/>
                <w:color w:val="FFFFFF" w:themeColor="background1"/>
                <w:sz w:val="24"/>
                <w:szCs w:val="24"/>
                <w:lang w:eastAsia="de-DE"/>
              </w:rPr>
              <w:t>Role</w:t>
            </w:r>
          </w:p>
        </w:tc>
        <w:tc>
          <w:tcPr>
            <w:tcW w:w="8347" w:type="dxa"/>
            <w:tcBorders>
              <w:top w:val="single" w:sz="4" w:space="0" w:color="5B9BD5"/>
              <w:left w:val="single" w:sz="4" w:space="0" w:color="5B9BD5"/>
              <w:bottom w:val="single" w:sz="4" w:space="0" w:color="5B9BD5"/>
              <w:right w:val="single" w:sz="4" w:space="0" w:color="5B9BD5"/>
            </w:tcBorders>
          </w:tcPr>
          <w:p w14:paraId="5AD335D5" w14:textId="77777777" w:rsidR="007D4903" w:rsidRDefault="00C8659C">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de-DE"/>
              </w:rPr>
            </w:pPr>
            <w:r>
              <w:rPr>
                <w:rFonts w:asciiTheme="minorHAnsi" w:hAnsiTheme="minorHAnsi" w:cstheme="minorHAnsi"/>
                <w:color w:val="FFFFFF" w:themeColor="background1"/>
                <w:sz w:val="24"/>
                <w:szCs w:val="24"/>
                <w:lang w:eastAsia="de-DE"/>
              </w:rPr>
              <w:t>Responsibilities</w:t>
            </w:r>
          </w:p>
        </w:tc>
      </w:tr>
      <w:tr w:rsidR="007D4903" w14:paraId="5AD335D9"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4" w:type="dxa"/>
          </w:tcPr>
          <w:p w14:paraId="5AD335D7" w14:textId="77777777" w:rsidR="007D4903" w:rsidRDefault="00C8659C">
            <w:pPr>
              <w:suppressAutoHyphens w:val="0"/>
              <w:overflowPunct w:val="0"/>
              <w:spacing w:line="276" w:lineRule="auto"/>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Applicant</w:t>
            </w:r>
          </w:p>
        </w:tc>
        <w:tc>
          <w:tcPr>
            <w:tcW w:w="8347" w:type="dxa"/>
          </w:tcPr>
          <w:p w14:paraId="5AD335D8" w14:textId="77777777" w:rsidR="007D4903" w:rsidRDefault="00C8659C">
            <w:pPr>
              <w:suppressAutoHyphens w:val="0"/>
              <w:overflowPunct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Submits complete application package and responds to information requests.</w:t>
            </w:r>
          </w:p>
        </w:tc>
      </w:tr>
      <w:tr w:rsidR="007D4903" w14:paraId="5AD335DC" w14:textId="77777777" w:rsidTr="007D4903">
        <w:tc>
          <w:tcPr>
            <w:cnfStyle w:val="001000000000" w:firstRow="0" w:lastRow="0" w:firstColumn="1" w:lastColumn="0" w:oddVBand="0" w:evenVBand="0" w:oddHBand="0" w:evenHBand="0" w:firstRowFirstColumn="0" w:firstRowLastColumn="0" w:lastRowFirstColumn="0" w:lastRowLastColumn="0"/>
            <w:tcW w:w="1424" w:type="dxa"/>
          </w:tcPr>
          <w:p w14:paraId="5AD335DA" w14:textId="77777777" w:rsidR="007D4903" w:rsidRDefault="00C8659C">
            <w:pPr>
              <w:suppressAutoHyphens w:val="0"/>
              <w:overflowPunct w:val="0"/>
              <w:spacing w:line="276" w:lineRule="auto"/>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w:t>
            </w:r>
          </w:p>
        </w:tc>
        <w:tc>
          <w:tcPr>
            <w:tcW w:w="8347" w:type="dxa"/>
          </w:tcPr>
          <w:p w14:paraId="5AD335DB" w14:textId="77777777" w:rsidR="007D4903" w:rsidRDefault="00C8659C">
            <w:pPr>
              <w:suppressAutoHyphens w:val="0"/>
              <w:overflowPunct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Manages the workflow, performs completeness checks, conducts the detailed technical and operational assessment, maintains records and schedules renewals.</w:t>
            </w:r>
          </w:p>
        </w:tc>
      </w:tr>
      <w:tr w:rsidR="007D4903" w14:paraId="5AD335DF"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4" w:type="dxa"/>
          </w:tcPr>
          <w:p w14:paraId="5AD335DD" w14:textId="77777777" w:rsidR="007D4903" w:rsidRDefault="00C8659C">
            <w:pPr>
              <w:suppressAutoHyphens w:val="0"/>
              <w:overflowPunct w:val="0"/>
              <w:spacing w:line="276" w:lineRule="auto"/>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Board</w:t>
            </w:r>
          </w:p>
        </w:tc>
        <w:tc>
          <w:tcPr>
            <w:tcW w:w="8347" w:type="dxa"/>
          </w:tcPr>
          <w:p w14:paraId="5AD335DE" w14:textId="77777777" w:rsidR="007D4903" w:rsidRDefault="00C8659C">
            <w:pPr>
              <w:suppressAutoHyphens w:val="0"/>
              <w:overflowPunct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Provides strategic oversight, nominates rapporteurs, reviews Secretariat’s report and decides on endorsement, conditional endorsement or rejection.</w:t>
            </w:r>
          </w:p>
        </w:tc>
      </w:tr>
      <w:tr w:rsidR="007D4903" w14:paraId="5AD335E2" w14:textId="77777777" w:rsidTr="007D4903">
        <w:tc>
          <w:tcPr>
            <w:cnfStyle w:val="001000000000" w:firstRow="0" w:lastRow="0" w:firstColumn="1" w:lastColumn="0" w:oddVBand="0" w:evenVBand="0" w:oddHBand="0" w:evenHBand="0" w:firstRowFirstColumn="0" w:firstRowLastColumn="0" w:lastRowFirstColumn="0" w:lastRowLastColumn="0"/>
            <w:tcW w:w="1424" w:type="dxa"/>
          </w:tcPr>
          <w:p w14:paraId="5AD335E0" w14:textId="77777777" w:rsidR="007D4903" w:rsidRDefault="00C8659C">
            <w:pPr>
              <w:suppressAutoHyphens w:val="0"/>
              <w:overflowPunct w:val="0"/>
              <w:spacing w:line="276" w:lineRule="auto"/>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Board Rapporteur</w:t>
            </w:r>
          </w:p>
        </w:tc>
        <w:tc>
          <w:tcPr>
            <w:tcW w:w="8347" w:type="dxa"/>
          </w:tcPr>
          <w:p w14:paraId="5AD335E1" w14:textId="77777777" w:rsidR="007D4903" w:rsidRDefault="00C8659C">
            <w:pPr>
              <w:suppressAutoHyphens w:val="0"/>
              <w:overflowPunct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One Board member assigned per application; perform high-level review against strategic goals, independence and risk; coordinate questions to Secretariat.</w:t>
            </w:r>
          </w:p>
        </w:tc>
      </w:tr>
    </w:tbl>
    <w:p w14:paraId="5AD335E3" w14:textId="77777777" w:rsidR="007D4903" w:rsidRDefault="00C8659C">
      <w:pPr>
        <w:pStyle w:val="Heading1"/>
        <w:rPr>
          <w:rFonts w:asciiTheme="minorHAnsi" w:hAnsiTheme="minorHAnsi" w:cstheme="minorHAnsi"/>
        </w:rPr>
      </w:pPr>
      <w:r>
        <w:rPr>
          <w:rFonts w:cstheme="minorHAnsi"/>
        </w:rPr>
        <w:t xml:space="preserve">Procedure </w:t>
      </w:r>
    </w:p>
    <w:p w14:paraId="5AD335E4" w14:textId="77777777" w:rsidR="007D4903" w:rsidRDefault="00C8659C">
      <w:pPr>
        <w:pStyle w:val="BodyText"/>
        <w:spacing w:after="119"/>
        <w:jc w:val="left"/>
        <w:outlineLvl w:val="0"/>
        <w:rPr>
          <w:rFonts w:asciiTheme="minorHAnsi" w:hAnsiTheme="minorHAnsi" w:cstheme="minorBidi"/>
          <w:sz w:val="24"/>
          <w:szCs w:val="24"/>
        </w:rPr>
      </w:pPr>
      <w:r>
        <w:rPr>
          <w:rFonts w:asciiTheme="minorHAnsi" w:hAnsiTheme="minorHAnsi" w:cstheme="minorBidi"/>
          <w:sz w:val="24"/>
          <w:szCs w:val="24"/>
        </w:rPr>
        <w:t>The process of endorsing an MCP MSR service provider consists of the following steps:</w:t>
      </w:r>
    </w:p>
    <w:tbl>
      <w:tblPr>
        <w:tblStyle w:val="GridTable4-Accent5"/>
        <w:tblW w:w="9771" w:type="dxa"/>
        <w:tblLayout w:type="fixed"/>
        <w:tblLook w:val="04A0" w:firstRow="1" w:lastRow="0" w:firstColumn="1" w:lastColumn="0" w:noHBand="0" w:noVBand="1"/>
      </w:tblPr>
      <w:tblGrid>
        <w:gridCol w:w="705"/>
        <w:gridCol w:w="1410"/>
        <w:gridCol w:w="5550"/>
        <w:gridCol w:w="2106"/>
      </w:tblGrid>
      <w:tr w:rsidR="007D4903" w14:paraId="5AD335E9" w14:textId="77777777" w:rsidTr="007D4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tcBorders>
              <w:top w:val="single" w:sz="4" w:space="0" w:color="5B9BD5"/>
              <w:left w:val="single" w:sz="4" w:space="0" w:color="5B9BD5"/>
              <w:bottom w:val="single" w:sz="4" w:space="0" w:color="5B9BD5"/>
              <w:right w:val="single" w:sz="4" w:space="0" w:color="5B9BD5"/>
            </w:tcBorders>
          </w:tcPr>
          <w:p w14:paraId="5AD335E5"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color w:val="FFFFFF" w:themeColor="background1"/>
                <w:sz w:val="24"/>
                <w:szCs w:val="24"/>
                <w:lang w:val="en-AU" w:eastAsia="en-AU"/>
              </w:rPr>
              <w:t>Step</w:t>
            </w:r>
          </w:p>
        </w:tc>
        <w:tc>
          <w:tcPr>
            <w:tcW w:w="1410" w:type="dxa"/>
            <w:tcBorders>
              <w:top w:val="single" w:sz="4" w:space="0" w:color="5B9BD5"/>
              <w:left w:val="single" w:sz="4" w:space="0" w:color="5B9BD5"/>
              <w:bottom w:val="single" w:sz="4" w:space="0" w:color="5B9BD5"/>
              <w:right w:val="single" w:sz="4" w:space="0" w:color="5B9BD5"/>
            </w:tcBorders>
          </w:tcPr>
          <w:p w14:paraId="5AD335E6" w14:textId="77777777" w:rsidR="007D4903" w:rsidRDefault="00C8659C">
            <w:pPr>
              <w:suppressAutoHyphens w:val="0"/>
              <w:overflowPunct w:val="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color w:val="FFFFFF" w:themeColor="background1"/>
                <w:sz w:val="24"/>
                <w:szCs w:val="24"/>
                <w:lang w:val="en-AU" w:eastAsia="en-AU"/>
              </w:rPr>
              <w:t>Actor</w:t>
            </w:r>
          </w:p>
        </w:tc>
        <w:tc>
          <w:tcPr>
            <w:tcW w:w="5550" w:type="dxa"/>
            <w:tcBorders>
              <w:top w:val="single" w:sz="4" w:space="0" w:color="5B9BD5"/>
              <w:left w:val="single" w:sz="4" w:space="0" w:color="5B9BD5"/>
              <w:bottom w:val="single" w:sz="4" w:space="0" w:color="5B9BD5"/>
              <w:right w:val="single" w:sz="4" w:space="0" w:color="5B9BD5"/>
            </w:tcBorders>
          </w:tcPr>
          <w:p w14:paraId="5AD335E7" w14:textId="77777777" w:rsidR="007D4903" w:rsidRDefault="00C8659C">
            <w:pPr>
              <w:suppressAutoHyphens w:val="0"/>
              <w:overflowPunct w:val="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color w:val="FFFFFF" w:themeColor="background1"/>
                <w:sz w:val="24"/>
                <w:szCs w:val="24"/>
                <w:lang w:val="en-AU" w:eastAsia="en-AU"/>
              </w:rPr>
              <w:t>Action</w:t>
            </w:r>
          </w:p>
        </w:tc>
        <w:tc>
          <w:tcPr>
            <w:tcW w:w="2106" w:type="dxa"/>
            <w:tcBorders>
              <w:top w:val="single" w:sz="4" w:space="0" w:color="5B9BD5"/>
              <w:left w:val="single" w:sz="4" w:space="0" w:color="5B9BD5"/>
              <w:bottom w:val="single" w:sz="4" w:space="0" w:color="5B9BD5"/>
              <w:right w:val="single" w:sz="4" w:space="0" w:color="5B9BD5"/>
            </w:tcBorders>
          </w:tcPr>
          <w:p w14:paraId="5AD335E8" w14:textId="77777777" w:rsidR="007D4903" w:rsidRDefault="00C8659C">
            <w:pPr>
              <w:suppressAutoHyphens w:val="0"/>
              <w:overflowPunct w:val="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color w:val="FFFFFF" w:themeColor="background1"/>
                <w:sz w:val="24"/>
                <w:szCs w:val="24"/>
                <w:lang w:val="en-AU" w:eastAsia="en-AU"/>
              </w:rPr>
              <w:t>Output / Decision</w:t>
            </w:r>
          </w:p>
        </w:tc>
      </w:tr>
      <w:tr w:rsidR="007D4903" w14:paraId="5AD335EE"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tcPr>
          <w:p w14:paraId="5AD335EA"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0</w:t>
            </w:r>
          </w:p>
        </w:tc>
        <w:tc>
          <w:tcPr>
            <w:tcW w:w="1410" w:type="dxa"/>
          </w:tcPr>
          <w:p w14:paraId="5AD335EB"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w:t>
            </w:r>
          </w:p>
        </w:tc>
        <w:tc>
          <w:tcPr>
            <w:tcW w:w="5550" w:type="dxa"/>
          </w:tcPr>
          <w:p w14:paraId="5AD335EC"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Optional pre-application meeting to explain requirements.</w:t>
            </w:r>
          </w:p>
        </w:tc>
        <w:tc>
          <w:tcPr>
            <w:tcW w:w="2106" w:type="dxa"/>
          </w:tcPr>
          <w:p w14:paraId="5AD335ED"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w:t>
            </w:r>
          </w:p>
        </w:tc>
      </w:tr>
      <w:tr w:rsidR="007D4903" w14:paraId="5AD335F3" w14:textId="77777777" w:rsidTr="007D4903">
        <w:tc>
          <w:tcPr>
            <w:cnfStyle w:val="001000000000" w:firstRow="0" w:lastRow="0" w:firstColumn="1" w:lastColumn="0" w:oddVBand="0" w:evenVBand="0" w:oddHBand="0" w:evenHBand="0" w:firstRowFirstColumn="0" w:firstRowLastColumn="0" w:lastRowFirstColumn="0" w:lastRowLastColumn="0"/>
            <w:tcW w:w="705" w:type="dxa"/>
          </w:tcPr>
          <w:p w14:paraId="5AD335EF"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1</w:t>
            </w:r>
          </w:p>
        </w:tc>
        <w:tc>
          <w:tcPr>
            <w:tcW w:w="1410" w:type="dxa"/>
          </w:tcPr>
          <w:p w14:paraId="5AD335F0"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Applicant → Secretariat</w:t>
            </w:r>
          </w:p>
        </w:tc>
        <w:tc>
          <w:tcPr>
            <w:tcW w:w="5550" w:type="dxa"/>
          </w:tcPr>
          <w:p w14:paraId="5AD335F1"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Submit application form plus artefacts listed in Annex A.</w:t>
            </w:r>
          </w:p>
        </w:tc>
        <w:tc>
          <w:tcPr>
            <w:tcW w:w="2106" w:type="dxa"/>
          </w:tcPr>
          <w:p w14:paraId="5AD335F2"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Application package</w:t>
            </w:r>
          </w:p>
        </w:tc>
      </w:tr>
      <w:tr w:rsidR="007D4903" w14:paraId="5AD335F8"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tcPr>
          <w:p w14:paraId="5AD335F4"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lastRenderedPageBreak/>
              <w:t>2</w:t>
            </w:r>
          </w:p>
        </w:tc>
        <w:tc>
          <w:tcPr>
            <w:tcW w:w="1410" w:type="dxa"/>
          </w:tcPr>
          <w:p w14:paraId="5AD335F5"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w:t>
            </w:r>
          </w:p>
        </w:tc>
        <w:tc>
          <w:tcPr>
            <w:tcW w:w="5550" w:type="dxa"/>
          </w:tcPr>
          <w:p w14:paraId="5AD335F6"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Completeness check within 5 working days.</w:t>
            </w:r>
          </w:p>
        </w:tc>
        <w:tc>
          <w:tcPr>
            <w:tcW w:w="2106" w:type="dxa"/>
          </w:tcPr>
          <w:p w14:paraId="5AD335F7"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Application package accepted/rejected (incomplete)</w:t>
            </w:r>
          </w:p>
        </w:tc>
      </w:tr>
      <w:tr w:rsidR="007D4903" w14:paraId="5AD335FD" w14:textId="77777777" w:rsidTr="007D4903">
        <w:tc>
          <w:tcPr>
            <w:cnfStyle w:val="001000000000" w:firstRow="0" w:lastRow="0" w:firstColumn="1" w:lastColumn="0" w:oddVBand="0" w:evenVBand="0" w:oddHBand="0" w:evenHBand="0" w:firstRowFirstColumn="0" w:firstRowLastColumn="0" w:lastRowFirstColumn="0" w:lastRowLastColumn="0"/>
            <w:tcW w:w="705" w:type="dxa"/>
          </w:tcPr>
          <w:p w14:paraId="5AD335F9"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3</w:t>
            </w:r>
          </w:p>
        </w:tc>
        <w:tc>
          <w:tcPr>
            <w:tcW w:w="1410" w:type="dxa"/>
          </w:tcPr>
          <w:p w14:paraId="5AD335FA"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 → Board Chair</w:t>
            </w:r>
          </w:p>
        </w:tc>
        <w:tc>
          <w:tcPr>
            <w:tcW w:w="5550" w:type="dxa"/>
          </w:tcPr>
          <w:p w14:paraId="5AD335FB"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Forward application package and request nomination of one rapporteur.</w:t>
            </w:r>
          </w:p>
        </w:tc>
        <w:tc>
          <w:tcPr>
            <w:tcW w:w="2106" w:type="dxa"/>
          </w:tcPr>
          <w:p w14:paraId="5AD335FC"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w:t>
            </w:r>
          </w:p>
        </w:tc>
      </w:tr>
      <w:tr w:rsidR="007D4903" w14:paraId="5AD33602"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tcPr>
          <w:p w14:paraId="5AD335FE"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4</w:t>
            </w:r>
          </w:p>
        </w:tc>
        <w:tc>
          <w:tcPr>
            <w:tcW w:w="1410" w:type="dxa"/>
          </w:tcPr>
          <w:p w14:paraId="5AD335FF"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Board Chair</w:t>
            </w:r>
          </w:p>
        </w:tc>
        <w:tc>
          <w:tcPr>
            <w:tcW w:w="5550" w:type="dxa"/>
          </w:tcPr>
          <w:p w14:paraId="5AD33600"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Appoint rapporteur within 3 working days.</w:t>
            </w:r>
          </w:p>
        </w:tc>
        <w:tc>
          <w:tcPr>
            <w:tcW w:w="2106" w:type="dxa"/>
          </w:tcPr>
          <w:p w14:paraId="5AD33601"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Rapporteur confirmed</w:t>
            </w:r>
          </w:p>
        </w:tc>
      </w:tr>
      <w:tr w:rsidR="007D4903" w14:paraId="5AD33607" w14:textId="77777777" w:rsidTr="007D4903">
        <w:tc>
          <w:tcPr>
            <w:cnfStyle w:val="001000000000" w:firstRow="0" w:lastRow="0" w:firstColumn="1" w:lastColumn="0" w:oddVBand="0" w:evenVBand="0" w:oddHBand="0" w:evenHBand="0" w:firstRowFirstColumn="0" w:firstRowLastColumn="0" w:lastRowFirstColumn="0" w:lastRowLastColumn="0"/>
            <w:tcW w:w="705" w:type="dxa"/>
          </w:tcPr>
          <w:p w14:paraId="5AD33603"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5</w:t>
            </w:r>
          </w:p>
        </w:tc>
        <w:tc>
          <w:tcPr>
            <w:tcW w:w="1410" w:type="dxa"/>
          </w:tcPr>
          <w:p w14:paraId="5AD33604"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Rapporteur</w:t>
            </w:r>
          </w:p>
        </w:tc>
        <w:tc>
          <w:tcPr>
            <w:tcW w:w="5550" w:type="dxa"/>
          </w:tcPr>
          <w:p w14:paraId="5AD33605"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Strategic &amp; governance review using Board Checklist (Annex B). May request clarifications via Secretariat.</w:t>
            </w:r>
          </w:p>
        </w:tc>
        <w:tc>
          <w:tcPr>
            <w:tcW w:w="2106" w:type="dxa"/>
          </w:tcPr>
          <w:p w14:paraId="5AD33606"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Preliminary recommendation</w:t>
            </w:r>
          </w:p>
        </w:tc>
      </w:tr>
      <w:tr w:rsidR="007D4903" w14:paraId="5AD3360C"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tcPr>
          <w:p w14:paraId="5AD33608"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6</w:t>
            </w:r>
          </w:p>
        </w:tc>
        <w:tc>
          <w:tcPr>
            <w:tcW w:w="1410" w:type="dxa"/>
          </w:tcPr>
          <w:p w14:paraId="5AD33609"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w:t>
            </w:r>
          </w:p>
        </w:tc>
        <w:tc>
          <w:tcPr>
            <w:tcW w:w="5550" w:type="dxa"/>
          </w:tcPr>
          <w:p w14:paraId="5AD3360A"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Technical &amp; operational assessment (Annex C). Produce detailed report and compliance matrix.</w:t>
            </w:r>
          </w:p>
        </w:tc>
        <w:tc>
          <w:tcPr>
            <w:tcW w:w="2106" w:type="dxa"/>
          </w:tcPr>
          <w:p w14:paraId="5AD3360B"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Assessment report</w:t>
            </w:r>
          </w:p>
        </w:tc>
      </w:tr>
      <w:tr w:rsidR="007D4903" w14:paraId="5AD33611" w14:textId="77777777" w:rsidTr="007D4903">
        <w:tc>
          <w:tcPr>
            <w:cnfStyle w:val="001000000000" w:firstRow="0" w:lastRow="0" w:firstColumn="1" w:lastColumn="0" w:oddVBand="0" w:evenVBand="0" w:oddHBand="0" w:evenHBand="0" w:firstRowFirstColumn="0" w:firstRowLastColumn="0" w:lastRowFirstColumn="0" w:lastRowLastColumn="0"/>
            <w:tcW w:w="705" w:type="dxa"/>
          </w:tcPr>
          <w:p w14:paraId="5AD3360D"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7</w:t>
            </w:r>
          </w:p>
        </w:tc>
        <w:tc>
          <w:tcPr>
            <w:tcW w:w="1410" w:type="dxa"/>
          </w:tcPr>
          <w:p w14:paraId="5AD3360E"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 → Board</w:t>
            </w:r>
          </w:p>
        </w:tc>
        <w:tc>
          <w:tcPr>
            <w:tcW w:w="5550" w:type="dxa"/>
          </w:tcPr>
          <w:p w14:paraId="5AD3360F"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Circulate assessment report and all artefacts at least 14 days before the decision meeting.</w:t>
            </w:r>
          </w:p>
        </w:tc>
        <w:tc>
          <w:tcPr>
            <w:tcW w:w="2106" w:type="dxa"/>
          </w:tcPr>
          <w:p w14:paraId="5AD33610"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w:t>
            </w:r>
          </w:p>
        </w:tc>
      </w:tr>
      <w:tr w:rsidR="007D4903" w14:paraId="5AD33616"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tcPr>
          <w:p w14:paraId="5AD33612"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8</w:t>
            </w:r>
          </w:p>
        </w:tc>
        <w:tc>
          <w:tcPr>
            <w:tcW w:w="1410" w:type="dxa"/>
          </w:tcPr>
          <w:p w14:paraId="5AD33613"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Board</w:t>
            </w:r>
          </w:p>
        </w:tc>
        <w:tc>
          <w:tcPr>
            <w:tcW w:w="5550" w:type="dxa"/>
          </w:tcPr>
          <w:p w14:paraId="5AD33614"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 xml:space="preserve">Rapporteur presents their preliminary recommendation and outcome of the assessment (step 6). Possible outcomes: </w:t>
            </w:r>
            <w:r>
              <w:rPr>
                <w:rFonts w:asciiTheme="minorHAnsi" w:eastAsia="Times New Roman" w:hAnsiTheme="minorHAnsi" w:cstheme="minorBidi"/>
                <w:i/>
                <w:iCs/>
                <w:sz w:val="24"/>
                <w:szCs w:val="24"/>
                <w:lang w:val="en-AU" w:eastAsia="en-AU"/>
              </w:rPr>
              <w:t>Approve</w:t>
            </w:r>
            <w:r>
              <w:rPr>
                <w:rFonts w:asciiTheme="minorHAnsi" w:eastAsia="Times New Roman" w:hAnsiTheme="minorHAnsi" w:cstheme="minorBidi"/>
                <w:sz w:val="24"/>
                <w:szCs w:val="24"/>
                <w:lang w:val="en-AU" w:eastAsia="en-AU"/>
              </w:rPr>
              <w:t xml:space="preserve">, </w:t>
            </w:r>
            <w:r>
              <w:rPr>
                <w:rFonts w:asciiTheme="minorHAnsi" w:eastAsia="Times New Roman" w:hAnsiTheme="minorHAnsi" w:cstheme="minorBidi"/>
                <w:i/>
                <w:iCs/>
                <w:sz w:val="24"/>
                <w:szCs w:val="24"/>
                <w:lang w:val="en-AU" w:eastAsia="en-AU"/>
              </w:rPr>
              <w:t>Reject</w:t>
            </w:r>
            <w:r>
              <w:rPr>
                <w:rFonts w:asciiTheme="minorHAnsi" w:eastAsia="Times New Roman" w:hAnsiTheme="minorHAnsi" w:cstheme="minorBidi"/>
                <w:sz w:val="24"/>
                <w:szCs w:val="24"/>
                <w:lang w:val="en-AU" w:eastAsia="en-AU"/>
              </w:rPr>
              <w:t>.</w:t>
            </w:r>
          </w:p>
        </w:tc>
        <w:tc>
          <w:tcPr>
            <w:tcW w:w="2106" w:type="dxa"/>
          </w:tcPr>
          <w:p w14:paraId="5AD33615"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Board resolution</w:t>
            </w:r>
          </w:p>
        </w:tc>
      </w:tr>
      <w:tr w:rsidR="007D4903" w14:paraId="5AD3361B" w14:textId="77777777" w:rsidTr="007D4903">
        <w:tc>
          <w:tcPr>
            <w:cnfStyle w:val="001000000000" w:firstRow="0" w:lastRow="0" w:firstColumn="1" w:lastColumn="0" w:oddVBand="0" w:evenVBand="0" w:oddHBand="0" w:evenHBand="0" w:firstRowFirstColumn="0" w:firstRowLastColumn="0" w:lastRowFirstColumn="0" w:lastRowLastColumn="0"/>
            <w:tcW w:w="705" w:type="dxa"/>
          </w:tcPr>
          <w:p w14:paraId="5AD33617"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9</w:t>
            </w:r>
          </w:p>
        </w:tc>
        <w:tc>
          <w:tcPr>
            <w:tcW w:w="1410" w:type="dxa"/>
          </w:tcPr>
          <w:p w14:paraId="5AD33618"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w:t>
            </w:r>
          </w:p>
        </w:tc>
        <w:tc>
          <w:tcPr>
            <w:tcW w:w="5550" w:type="dxa"/>
          </w:tcPr>
          <w:p w14:paraId="5AD33619"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Notify applicant of decision within 3 working days.</w:t>
            </w:r>
          </w:p>
        </w:tc>
        <w:tc>
          <w:tcPr>
            <w:tcW w:w="2106" w:type="dxa"/>
          </w:tcPr>
          <w:p w14:paraId="5AD3361A"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Notification letter</w:t>
            </w:r>
          </w:p>
        </w:tc>
      </w:tr>
      <w:tr w:rsidR="007D4903" w14:paraId="5AD33620" w14:textId="77777777" w:rsidTr="007D4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tcPr>
          <w:p w14:paraId="5AD3361C"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10</w:t>
            </w:r>
          </w:p>
        </w:tc>
        <w:tc>
          <w:tcPr>
            <w:tcW w:w="1410" w:type="dxa"/>
          </w:tcPr>
          <w:p w14:paraId="5AD3361D"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w:t>
            </w:r>
          </w:p>
        </w:tc>
        <w:tc>
          <w:tcPr>
            <w:tcW w:w="5550" w:type="dxa"/>
          </w:tcPr>
          <w:p w14:paraId="5AD3361E"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4"/>
                <w:szCs w:val="24"/>
                <w:lang w:val="en-AU" w:eastAsia="en-AU"/>
              </w:rPr>
            </w:pPr>
            <w:r>
              <w:rPr>
                <w:rFonts w:asciiTheme="minorHAnsi" w:eastAsia="Times New Roman" w:hAnsiTheme="minorHAnsi" w:cstheme="minorBidi"/>
                <w:sz w:val="24"/>
                <w:szCs w:val="24"/>
                <w:lang w:val="en-AU" w:eastAsia="en-AU"/>
              </w:rPr>
              <w:t>If approved, update website and repository.</w:t>
            </w:r>
          </w:p>
        </w:tc>
        <w:tc>
          <w:tcPr>
            <w:tcW w:w="2106" w:type="dxa"/>
          </w:tcPr>
          <w:p w14:paraId="5AD3361F" w14:textId="77777777" w:rsidR="007D4903" w:rsidRDefault="00C8659C">
            <w:pPr>
              <w:suppressAutoHyphens w:val="0"/>
              <w:overflowPunct w:val="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Publication completed</w:t>
            </w:r>
          </w:p>
        </w:tc>
      </w:tr>
      <w:tr w:rsidR="007D4903" w14:paraId="5AD33625" w14:textId="77777777" w:rsidTr="007D4903">
        <w:tc>
          <w:tcPr>
            <w:cnfStyle w:val="001000000000" w:firstRow="0" w:lastRow="0" w:firstColumn="1" w:lastColumn="0" w:oddVBand="0" w:evenVBand="0" w:oddHBand="0" w:evenHBand="0" w:firstRowFirstColumn="0" w:firstRowLastColumn="0" w:lastRowFirstColumn="0" w:lastRowLastColumn="0"/>
            <w:tcW w:w="705" w:type="dxa"/>
          </w:tcPr>
          <w:p w14:paraId="5AD33621" w14:textId="77777777" w:rsidR="007D4903" w:rsidRDefault="00C8659C">
            <w:pPr>
              <w:suppressAutoHyphens w:val="0"/>
              <w:overflowPunct w:val="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11</w:t>
            </w:r>
          </w:p>
        </w:tc>
        <w:tc>
          <w:tcPr>
            <w:tcW w:w="1410" w:type="dxa"/>
          </w:tcPr>
          <w:p w14:paraId="5AD33622"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Secretariat</w:t>
            </w:r>
          </w:p>
        </w:tc>
        <w:tc>
          <w:tcPr>
            <w:tcW w:w="5550" w:type="dxa"/>
          </w:tcPr>
          <w:p w14:paraId="5AD33623"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Archive dossier and set renewal reminder (12 months minus 30 days).</w:t>
            </w:r>
          </w:p>
        </w:tc>
        <w:tc>
          <w:tcPr>
            <w:tcW w:w="2106" w:type="dxa"/>
          </w:tcPr>
          <w:p w14:paraId="5AD33624" w14:textId="77777777" w:rsidR="007D4903" w:rsidRDefault="00C8659C">
            <w:pPr>
              <w:suppressAutoHyphens w:val="0"/>
              <w:overflowPunct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val="en-AU" w:eastAsia="en-AU"/>
              </w:rPr>
            </w:pPr>
            <w:r>
              <w:rPr>
                <w:rFonts w:asciiTheme="minorHAnsi" w:eastAsia="Times New Roman" w:hAnsiTheme="minorHAnsi" w:cstheme="minorHAnsi"/>
                <w:sz w:val="24"/>
                <w:szCs w:val="24"/>
                <w:lang w:val="en-AU" w:eastAsia="en-AU"/>
              </w:rPr>
              <w:t>Renewal task scheduled</w:t>
            </w:r>
          </w:p>
        </w:tc>
      </w:tr>
    </w:tbl>
    <w:p w14:paraId="5AD33626" w14:textId="77777777" w:rsidR="007D4903" w:rsidRDefault="007D4903">
      <w:pPr>
        <w:pStyle w:val="BodyText"/>
        <w:rPr>
          <w:lang w:eastAsia="de-DE"/>
        </w:rPr>
      </w:pPr>
    </w:p>
    <w:p w14:paraId="5AD33627" w14:textId="77777777" w:rsidR="007D4903" w:rsidRDefault="00C8659C">
      <w:pPr>
        <w:pStyle w:val="Heading1"/>
        <w:rPr>
          <w:rFonts w:asciiTheme="minorHAnsi" w:hAnsiTheme="minorHAnsi" w:cstheme="minorHAnsi"/>
        </w:rPr>
      </w:pPr>
      <w:r>
        <w:rPr>
          <w:rFonts w:cstheme="minorHAnsi"/>
        </w:rPr>
        <w:t>Recurrence And Changes after Endorsement</w:t>
      </w:r>
    </w:p>
    <w:p w14:paraId="5AD33628" w14:textId="77777777" w:rsidR="007D4903" w:rsidRDefault="00C8659C">
      <w:pPr>
        <w:pStyle w:val="BodyText"/>
        <w:spacing w:after="119" w:line="259" w:lineRule="auto"/>
        <w:rPr>
          <w:rFonts w:asciiTheme="minorHAnsi" w:hAnsiTheme="minorHAnsi" w:cstheme="minorBidi"/>
          <w:sz w:val="24"/>
          <w:szCs w:val="24"/>
        </w:rPr>
      </w:pPr>
      <w:r>
        <w:rPr>
          <w:rFonts w:asciiTheme="minorHAnsi" w:hAnsiTheme="minorHAnsi" w:cstheme="minorBidi"/>
          <w:sz w:val="24"/>
          <w:szCs w:val="24"/>
        </w:rPr>
        <w:t>Endorsement of an MCP MSR service provider remains valid for a period of 12 months from the date of Board approval. To maintain continuity, the Secretariat must initiate a renewal review prior to expiry. This review consists of repeating the technical and operational assessment outlined in Appendix C.</w:t>
      </w:r>
    </w:p>
    <w:p w14:paraId="5AD33629" w14:textId="77777777" w:rsidR="007D4903" w:rsidRDefault="00C8659C">
      <w:pPr>
        <w:pStyle w:val="BodyText"/>
        <w:spacing w:after="119"/>
        <w:outlineLvl w:val="0"/>
        <w:rPr>
          <w:rFonts w:asciiTheme="minorHAnsi" w:hAnsiTheme="minorHAnsi" w:cstheme="minorBidi"/>
          <w:sz w:val="24"/>
          <w:szCs w:val="24"/>
        </w:rPr>
      </w:pPr>
      <w:r>
        <w:rPr>
          <w:rFonts w:asciiTheme="minorHAnsi" w:hAnsiTheme="minorHAnsi" w:cstheme="minorBidi"/>
          <w:sz w:val="24"/>
          <w:szCs w:val="24"/>
        </w:rPr>
        <w:t>If the reassessment identifies no material deviations or concerns, the endorsement is automatically renewed for another 12-</w:t>
      </w:r>
      <w:r>
        <w:rPr>
          <w:rFonts w:ascii="Cambria Math" w:hAnsi="Cambria Math" w:cs="Cambria Math"/>
          <w:sz w:val="24"/>
          <w:szCs w:val="24"/>
        </w:rPr>
        <w:noBreakHyphen/>
      </w:r>
      <w:r>
        <w:rPr>
          <w:rFonts w:asciiTheme="minorHAnsi" w:hAnsiTheme="minorHAnsi" w:cstheme="minorBidi"/>
          <w:sz w:val="24"/>
          <w:szCs w:val="24"/>
        </w:rPr>
        <w:t>month term without requiring additional Board action.</w:t>
      </w:r>
    </w:p>
    <w:p w14:paraId="5AD3362A" w14:textId="77777777" w:rsidR="007D4903" w:rsidRDefault="00C8659C">
      <w:pPr>
        <w:pStyle w:val="BodyText"/>
        <w:spacing w:after="119"/>
        <w:outlineLvl w:val="0"/>
        <w:rPr>
          <w:rFonts w:asciiTheme="minorHAnsi" w:hAnsiTheme="minorHAnsi" w:cstheme="minorHAnsi"/>
          <w:sz w:val="24"/>
          <w:szCs w:val="24"/>
        </w:rPr>
      </w:pPr>
      <w:r>
        <w:rPr>
          <w:rFonts w:asciiTheme="minorHAnsi" w:hAnsiTheme="minorHAnsi" w:cstheme="minorHAnsi"/>
          <w:sz w:val="24"/>
          <w:szCs w:val="24"/>
        </w:rPr>
        <w:t>However, if the Secretariat identifies any material deviation from the original approval criteria, including procedural changes, technical non</w:t>
      </w:r>
      <w:r>
        <w:rPr>
          <w:rFonts w:ascii="Cambria Math" w:hAnsi="Cambria Math" w:cs="Cambria Math"/>
          <w:sz w:val="24"/>
          <w:szCs w:val="24"/>
        </w:rPr>
        <w:noBreakHyphen/>
      </w:r>
      <w:r>
        <w:rPr>
          <w:rFonts w:asciiTheme="minorHAnsi" w:hAnsiTheme="minorHAnsi" w:cstheme="minorHAnsi"/>
          <w:sz w:val="24"/>
          <w:szCs w:val="24"/>
        </w:rPr>
        <w:t>compliance, or security concerns, a report will be escalated to the Board. The Board must then decide whether to suspend, revoke, or grant a waiver for continued endorsement.</w:t>
      </w:r>
    </w:p>
    <w:p w14:paraId="5AD3362B" w14:textId="77777777" w:rsidR="007D4903" w:rsidRDefault="00C8659C">
      <w:pPr>
        <w:pStyle w:val="BodyText"/>
        <w:spacing w:after="119"/>
        <w:outlineLvl w:val="0"/>
        <w:rPr>
          <w:rFonts w:asciiTheme="minorHAnsi" w:hAnsiTheme="minorHAnsi" w:cstheme="minorHAnsi"/>
          <w:sz w:val="24"/>
          <w:szCs w:val="24"/>
        </w:rPr>
      </w:pPr>
      <w:r>
        <w:rPr>
          <w:rFonts w:asciiTheme="minorHAnsi" w:hAnsiTheme="minorHAnsi" w:cstheme="minorHAnsi"/>
          <w:sz w:val="24"/>
          <w:szCs w:val="24"/>
        </w:rPr>
        <w:t>In the event of suspension or revocation, the change in status will be published immediately to ensure transparency and the integrity of trust.</w:t>
      </w:r>
    </w:p>
    <w:p w14:paraId="5AD3362C" w14:textId="77777777" w:rsidR="007D4903" w:rsidRDefault="00C8659C">
      <w:pPr>
        <w:pStyle w:val="BodyText"/>
        <w:spacing w:after="119"/>
        <w:outlineLvl w:val="0"/>
        <w:rPr>
          <w:rFonts w:asciiTheme="minorHAnsi" w:hAnsiTheme="minorHAnsi" w:cstheme="minorBidi"/>
          <w:sz w:val="24"/>
          <w:szCs w:val="24"/>
        </w:rPr>
      </w:pPr>
      <w:r>
        <w:rPr>
          <w:rFonts w:asciiTheme="minorHAnsi" w:hAnsiTheme="minorHAnsi" w:cstheme="minorBidi"/>
          <w:sz w:val="24"/>
          <w:szCs w:val="24"/>
        </w:rPr>
        <w:t>Additionally, a re</w:t>
      </w:r>
      <w:r>
        <w:rPr>
          <w:rFonts w:ascii="Cambria Math" w:hAnsi="Cambria Math" w:cs="Cambria Math"/>
          <w:sz w:val="24"/>
          <w:szCs w:val="24"/>
        </w:rPr>
        <w:noBreakHyphen/>
      </w:r>
      <w:r>
        <w:rPr>
          <w:rFonts w:asciiTheme="minorHAnsi" w:hAnsiTheme="minorHAnsi" w:cstheme="minorBidi"/>
          <w:sz w:val="24"/>
          <w:szCs w:val="24"/>
        </w:rPr>
        <w:t xml:space="preserve">assessment of any endorsed MCP MSR service provider may be triggered at any time if the board decides on such action. In that case, the procedures outlined in this document apply accordingly. </w:t>
      </w:r>
    </w:p>
    <w:p w14:paraId="5AD3362D" w14:textId="77777777" w:rsidR="007D4903" w:rsidRDefault="007D4903">
      <w:pPr>
        <w:pStyle w:val="BodyText"/>
        <w:spacing w:after="119"/>
        <w:outlineLvl w:val="0"/>
        <w:rPr>
          <w:rFonts w:asciiTheme="minorHAnsi" w:hAnsiTheme="minorHAnsi" w:cstheme="minorBidi"/>
          <w:sz w:val="24"/>
          <w:szCs w:val="24"/>
        </w:rPr>
      </w:pPr>
    </w:p>
    <w:p w14:paraId="5AD3362E" w14:textId="77777777" w:rsidR="007D4903" w:rsidRDefault="00C8659C">
      <w:pPr>
        <w:pStyle w:val="Heading1"/>
        <w:spacing w:line="259" w:lineRule="auto"/>
        <w:rPr>
          <w:rFonts w:asciiTheme="minorHAnsi" w:eastAsiaTheme="minorEastAsia" w:hAnsiTheme="minorHAnsi" w:cstheme="minorBidi"/>
          <w:szCs w:val="24"/>
        </w:rPr>
      </w:pPr>
      <w:r>
        <w:rPr>
          <w:rFonts w:eastAsiaTheme="minorEastAsia" w:cstheme="minorBidi"/>
          <w:szCs w:val="24"/>
        </w:rPr>
        <w:lastRenderedPageBreak/>
        <w:t>Operational requirements</w:t>
      </w:r>
    </w:p>
    <w:p w14:paraId="5AD3362F" w14:textId="77777777" w:rsidR="007D4903" w:rsidRDefault="00C8659C">
      <w:pPr>
        <w:pStyle w:val="BodyText"/>
        <w:rPr>
          <w:rFonts w:asciiTheme="minorHAnsi" w:eastAsiaTheme="minorEastAsia" w:hAnsiTheme="minorHAnsi" w:cstheme="minorBidi"/>
          <w:sz w:val="24"/>
          <w:szCs w:val="24"/>
        </w:rPr>
      </w:pPr>
      <w:r>
        <w:rPr>
          <w:rFonts w:asciiTheme="minorHAnsi" w:eastAsiaTheme="minorEastAsia" w:hAnsiTheme="minorHAnsi" w:cstheme="minorBidi"/>
          <w:sz w:val="24"/>
          <w:szCs w:val="24"/>
        </w:rPr>
        <w:t>The following list describes the operational requirements an MCP MSR service provider must comply with:</w:t>
      </w:r>
    </w:p>
    <w:p w14:paraId="5AD33630" w14:textId="77777777" w:rsidR="007D4903" w:rsidRDefault="00C8659C">
      <w:pPr>
        <w:pStyle w:val="BodyText"/>
        <w:numPr>
          <w:ilvl w:val="0"/>
          <w:numId w:val="2"/>
        </w:numPr>
        <w:rPr>
          <w:rFonts w:asciiTheme="minorHAnsi" w:eastAsiaTheme="minorEastAsia" w:hAnsiTheme="minorHAnsi" w:cstheme="minorBidi"/>
          <w:sz w:val="24"/>
          <w:szCs w:val="24"/>
        </w:rPr>
      </w:pPr>
      <w:r>
        <w:rPr>
          <w:rFonts w:asciiTheme="minorHAnsi" w:eastAsiaTheme="minorEastAsia" w:hAnsiTheme="minorHAnsi" w:cstheme="minorBidi"/>
          <w:sz w:val="24"/>
          <w:szCs w:val="24"/>
        </w:rPr>
        <w:t>An MCP MSR service provider must implement the requirements described in IALA G1191.</w:t>
      </w:r>
    </w:p>
    <w:p w14:paraId="5AD33631" w14:textId="77777777" w:rsidR="007D4903" w:rsidRDefault="00C8659C">
      <w:pPr>
        <w:pStyle w:val="BodyText"/>
        <w:numPr>
          <w:ilvl w:val="0"/>
          <w:numId w:val="2"/>
        </w:numPr>
        <w:rPr>
          <w:rFonts w:asciiTheme="minorHAnsi" w:eastAsiaTheme="minorEastAsia" w:hAnsiTheme="minorHAnsi" w:cstheme="minorBidi"/>
          <w:sz w:val="24"/>
          <w:szCs w:val="24"/>
        </w:rPr>
      </w:pPr>
      <w:r>
        <w:rPr>
          <w:rFonts w:asciiTheme="minorHAnsi" w:eastAsiaTheme="minorEastAsia" w:hAnsiTheme="minorHAnsi" w:cstheme="minorBidi"/>
          <w:sz w:val="24"/>
          <w:szCs w:val="24"/>
        </w:rPr>
        <w:t>An MCP MSR service provider must only provide services with a valid identity issued by an MCC endorsed MCP identity service provider.</w:t>
      </w:r>
    </w:p>
    <w:p w14:paraId="5AD33632" w14:textId="77777777" w:rsidR="007D4903" w:rsidRDefault="00C8659C">
      <w:pPr>
        <w:pStyle w:val="BodyText"/>
        <w:numPr>
          <w:ilvl w:val="0"/>
          <w:numId w:val="2"/>
        </w:numPr>
        <w:rPr>
          <w:rFonts w:asciiTheme="minorHAnsi" w:eastAsiaTheme="minorEastAsia" w:hAnsiTheme="minorHAnsi" w:cstheme="minorBidi"/>
          <w:sz w:val="24"/>
          <w:szCs w:val="24"/>
        </w:rPr>
      </w:pPr>
      <w:r>
        <w:rPr>
          <w:rFonts w:asciiTheme="minorHAnsi" w:eastAsiaTheme="minorEastAsia" w:hAnsiTheme="minorHAnsi" w:cstheme="minorBidi"/>
          <w:sz w:val="24"/>
          <w:szCs w:val="24"/>
        </w:rPr>
        <w:t>An MCP MSR service provider must participate in the global search network as described in IALA G1191 to enable service discoverability across different service registries.</w:t>
      </w:r>
    </w:p>
    <w:p w14:paraId="5AD33633" w14:textId="77777777" w:rsidR="007D4903" w:rsidRDefault="007D4903">
      <w:pPr>
        <w:pStyle w:val="BodyText"/>
        <w:spacing w:after="119"/>
        <w:outlineLvl w:val="0"/>
        <w:rPr>
          <w:rFonts w:asciiTheme="minorHAnsi" w:hAnsiTheme="minorHAnsi" w:cstheme="minorBidi"/>
          <w:sz w:val="24"/>
          <w:szCs w:val="24"/>
        </w:rPr>
      </w:pPr>
    </w:p>
    <w:p w14:paraId="5AD33634" w14:textId="77777777" w:rsidR="007D4903" w:rsidRDefault="00C8659C">
      <w:pPr>
        <w:pStyle w:val="Annex"/>
        <w:rPr>
          <w:rFonts w:asciiTheme="minorHAnsi" w:hAnsiTheme="minorHAnsi" w:cstheme="minorHAnsi"/>
        </w:rPr>
      </w:pPr>
      <w:r>
        <w:lastRenderedPageBreak/>
        <w:br w:type="page"/>
      </w:r>
    </w:p>
    <w:p w14:paraId="5AD33635" w14:textId="77777777" w:rsidR="007D4903" w:rsidRDefault="00C8659C">
      <w:pPr>
        <w:pStyle w:val="Annex"/>
        <w:spacing w:before="0"/>
        <w:rPr>
          <w:rFonts w:asciiTheme="minorHAnsi" w:hAnsiTheme="minorHAnsi" w:cstheme="minorBidi"/>
        </w:rPr>
      </w:pPr>
      <w:r>
        <w:rPr>
          <w:rFonts w:cstheme="minorBidi"/>
        </w:rPr>
        <w:lastRenderedPageBreak/>
        <w:t>ANNex A – Required Artifacts for Initial Application</w:t>
      </w:r>
    </w:p>
    <w:p w14:paraId="5AD33636" w14:textId="77777777" w:rsidR="007D4903" w:rsidRDefault="00C8659C">
      <w:pPr>
        <w:numPr>
          <w:ilvl w:val="0"/>
          <w:numId w:val="15"/>
        </w:numPr>
        <w:spacing w:after="120"/>
        <w:ind w:left="714" w:hanging="357"/>
        <w:rPr>
          <w:rFonts w:asciiTheme="minorHAnsi" w:hAnsiTheme="minorHAnsi" w:cstheme="minorHAnsi"/>
          <w:sz w:val="24"/>
          <w:szCs w:val="24"/>
          <w:lang w:val="en-AU"/>
        </w:rPr>
      </w:pPr>
      <w:r>
        <w:rPr>
          <w:rFonts w:asciiTheme="minorHAnsi" w:hAnsiTheme="minorHAnsi" w:cstheme="minorBidi"/>
          <w:sz w:val="24"/>
          <w:szCs w:val="24"/>
          <w:lang w:val="en-AU"/>
        </w:rPr>
        <w:t>Evidence required to validate the organisation's identity in accordance with MCP Gen 5 vetting.</w:t>
      </w:r>
    </w:p>
    <w:p w14:paraId="5AD33637" w14:textId="77777777" w:rsidR="007D4903" w:rsidRDefault="00C8659C">
      <w:pPr>
        <w:numPr>
          <w:ilvl w:val="0"/>
          <w:numId w:val="15"/>
        </w:numPr>
        <w:spacing w:after="120"/>
        <w:ind w:left="714" w:hanging="357"/>
        <w:rPr>
          <w:rFonts w:asciiTheme="minorHAnsi" w:hAnsiTheme="minorHAnsi" w:cstheme="minorBidi"/>
          <w:sz w:val="24"/>
          <w:szCs w:val="24"/>
          <w:lang w:val="en-AU"/>
        </w:rPr>
      </w:pPr>
      <w:r>
        <w:rPr>
          <w:rFonts w:asciiTheme="minorHAnsi" w:hAnsiTheme="minorHAnsi" w:cstheme="minorBidi"/>
          <w:sz w:val="24"/>
          <w:szCs w:val="24"/>
          <w:lang w:val="en-AU"/>
        </w:rPr>
        <w:t>A written declaration that the organisation follows applicable data privacy practices (e.g. GDPR).</w:t>
      </w:r>
    </w:p>
    <w:p w14:paraId="5AD33638" w14:textId="77777777" w:rsidR="007D4903" w:rsidRDefault="00C8659C">
      <w:pPr>
        <w:numPr>
          <w:ilvl w:val="0"/>
          <w:numId w:val="15"/>
        </w:numPr>
        <w:spacing w:after="120"/>
        <w:ind w:left="714" w:hanging="357"/>
        <w:rPr>
          <w:rFonts w:asciiTheme="minorHAnsi" w:hAnsiTheme="minorHAnsi" w:cstheme="minorBidi"/>
          <w:sz w:val="24"/>
          <w:szCs w:val="24"/>
          <w:lang w:val="en-AU"/>
        </w:rPr>
      </w:pPr>
      <w:r>
        <w:rPr>
          <w:rFonts w:asciiTheme="minorHAnsi" w:hAnsiTheme="minorHAnsi" w:cstheme="minorBidi"/>
          <w:sz w:val="24"/>
          <w:szCs w:val="24"/>
          <w:lang w:val="en-AU"/>
        </w:rPr>
        <w:t xml:space="preserve">A testable endpoint (URL) for the purpose of testing that the MSR implementation fulfils the requirements in IALA G1191. </w:t>
      </w:r>
    </w:p>
    <w:p w14:paraId="5AD33639" w14:textId="77777777" w:rsidR="007D4903" w:rsidRDefault="00C8659C">
      <w:pPr>
        <w:pStyle w:val="Annex"/>
        <w:rPr>
          <w:rFonts w:asciiTheme="minorHAnsi" w:hAnsiTheme="minorHAnsi" w:cstheme="minorHAnsi"/>
          <w:lang w:val="en-AU"/>
        </w:rPr>
      </w:pPr>
      <w:r>
        <w:rPr>
          <w:rFonts w:cstheme="minorHAnsi"/>
          <w:lang w:val="en-AU"/>
        </w:rPr>
        <w:t>ANNEX B – Board Review Checklist (Rapporteur)</w:t>
      </w:r>
    </w:p>
    <w:p w14:paraId="5AD3363A" w14:textId="77777777" w:rsidR="007D4903" w:rsidRDefault="00C8659C">
      <w:pPr>
        <w:pStyle w:val="Bullet1"/>
        <w:numPr>
          <w:ilvl w:val="0"/>
          <w:numId w:val="17"/>
        </w:numPr>
        <w:rPr>
          <w:rFonts w:asciiTheme="minorHAnsi" w:hAnsiTheme="minorHAnsi" w:cstheme="minorHAnsi"/>
          <w:sz w:val="24"/>
          <w:szCs w:val="24"/>
          <w:lang w:val="en-AU"/>
        </w:rPr>
      </w:pPr>
      <w:r>
        <w:rPr>
          <w:rFonts w:asciiTheme="minorHAnsi" w:hAnsiTheme="minorHAnsi" w:cstheme="minorHAnsi"/>
          <w:sz w:val="24"/>
          <w:szCs w:val="24"/>
          <w:lang w:val="en-AU"/>
        </w:rPr>
        <w:t>Alignment with MCP objectives and community needs.</w:t>
      </w:r>
    </w:p>
    <w:p w14:paraId="5AD3363B" w14:textId="77777777" w:rsidR="007D4903" w:rsidRDefault="00C8659C">
      <w:pPr>
        <w:pStyle w:val="Bullet1"/>
        <w:numPr>
          <w:ilvl w:val="0"/>
          <w:numId w:val="17"/>
        </w:numPr>
        <w:rPr>
          <w:rFonts w:asciiTheme="minorHAnsi" w:hAnsiTheme="minorHAnsi" w:cstheme="minorBidi"/>
          <w:sz w:val="24"/>
          <w:szCs w:val="24"/>
          <w:lang w:val="en-AU"/>
        </w:rPr>
      </w:pPr>
      <w:r>
        <w:rPr>
          <w:rFonts w:asciiTheme="minorHAnsi" w:hAnsiTheme="minorHAnsi" w:cstheme="minorBidi"/>
          <w:sz w:val="24"/>
          <w:szCs w:val="24"/>
          <w:lang w:val="en-AU"/>
        </w:rPr>
        <w:t>Independence from existing identity providers (conflict of interest).</w:t>
      </w:r>
    </w:p>
    <w:p w14:paraId="5AD3363C" w14:textId="77777777" w:rsidR="007D4903" w:rsidRDefault="00C8659C">
      <w:pPr>
        <w:pStyle w:val="Bullet1"/>
        <w:numPr>
          <w:ilvl w:val="0"/>
          <w:numId w:val="17"/>
        </w:numPr>
        <w:rPr>
          <w:rFonts w:asciiTheme="minorHAnsi" w:hAnsiTheme="minorHAnsi" w:cstheme="minorHAnsi"/>
          <w:sz w:val="24"/>
          <w:szCs w:val="24"/>
          <w:lang w:val="en-AU"/>
        </w:rPr>
      </w:pPr>
      <w:r>
        <w:rPr>
          <w:rFonts w:asciiTheme="minorHAnsi" w:hAnsiTheme="minorHAnsi" w:cstheme="minorHAnsi"/>
          <w:sz w:val="24"/>
          <w:szCs w:val="24"/>
          <w:lang w:val="en-AU"/>
        </w:rPr>
        <w:t>Adequacy of organisational governance.</w:t>
      </w:r>
    </w:p>
    <w:p w14:paraId="5AD3363D" w14:textId="77777777" w:rsidR="007D4903" w:rsidRDefault="00C8659C">
      <w:pPr>
        <w:pStyle w:val="Bullet1"/>
        <w:numPr>
          <w:ilvl w:val="0"/>
          <w:numId w:val="17"/>
        </w:numPr>
        <w:rPr>
          <w:rFonts w:asciiTheme="minorHAnsi" w:hAnsiTheme="minorHAnsi" w:cstheme="minorHAnsi"/>
          <w:sz w:val="24"/>
          <w:szCs w:val="24"/>
          <w:lang w:val="en-AU"/>
        </w:rPr>
      </w:pPr>
      <w:r>
        <w:rPr>
          <w:rFonts w:asciiTheme="minorHAnsi" w:hAnsiTheme="minorHAnsi" w:cstheme="minorHAnsi"/>
          <w:sz w:val="24"/>
          <w:szCs w:val="24"/>
          <w:lang w:val="en-AU"/>
        </w:rPr>
        <w:t>Risk profile (e.g., legal, cybersecurity, geopolitical – as appropriate).</w:t>
      </w:r>
    </w:p>
    <w:p w14:paraId="5AD3363E" w14:textId="77777777" w:rsidR="007D4903" w:rsidRDefault="00C8659C">
      <w:pPr>
        <w:pStyle w:val="Bullet1"/>
        <w:numPr>
          <w:ilvl w:val="0"/>
          <w:numId w:val="17"/>
        </w:numPr>
        <w:rPr>
          <w:rFonts w:asciiTheme="minorHAnsi" w:hAnsiTheme="minorHAnsi" w:cstheme="minorHAnsi"/>
          <w:sz w:val="24"/>
          <w:szCs w:val="24"/>
          <w:lang w:val="en-AU"/>
        </w:rPr>
      </w:pPr>
      <w:r>
        <w:rPr>
          <w:rFonts w:asciiTheme="minorHAnsi" w:hAnsiTheme="minorHAnsi" w:cstheme="minorHAnsi"/>
          <w:sz w:val="24"/>
          <w:szCs w:val="24"/>
          <w:lang w:val="en-AU"/>
        </w:rPr>
        <w:t>Completeness and clarity of provided documents at policy level.</w:t>
      </w:r>
    </w:p>
    <w:p w14:paraId="5AD3363F" w14:textId="77777777" w:rsidR="007D4903" w:rsidRDefault="00C8659C">
      <w:pPr>
        <w:pStyle w:val="Annex"/>
        <w:rPr>
          <w:lang w:val="en-AU"/>
        </w:rPr>
      </w:pPr>
      <w:r>
        <w:rPr>
          <w:lang w:val="en-AU"/>
        </w:rPr>
        <w:t>ANNEX C – Secretariat Technical &amp; Operational Assessment</w:t>
      </w:r>
    </w:p>
    <w:p w14:paraId="5AD33640" w14:textId="77777777" w:rsidR="007D4903" w:rsidRDefault="00C8659C">
      <w:pPr>
        <w:rPr>
          <w:rFonts w:asciiTheme="minorHAnsi" w:hAnsiTheme="minorHAnsi" w:cstheme="minorHAnsi"/>
          <w:sz w:val="24"/>
          <w:szCs w:val="24"/>
          <w:lang w:val="en-AU"/>
        </w:rPr>
      </w:pPr>
      <w:r>
        <w:rPr>
          <w:rFonts w:asciiTheme="minorHAnsi" w:hAnsiTheme="minorHAnsi" w:cstheme="minorHAnsi"/>
          <w:sz w:val="24"/>
          <w:szCs w:val="24"/>
          <w:lang w:val="en-AU"/>
        </w:rPr>
        <w:t>The Secretariat must perform the following checks:</w:t>
      </w:r>
    </w:p>
    <w:p w14:paraId="5AD33641" w14:textId="77777777" w:rsidR="007D4903" w:rsidRDefault="007D4903">
      <w:pPr>
        <w:rPr>
          <w:rFonts w:asciiTheme="minorHAnsi" w:hAnsiTheme="minorHAnsi" w:cstheme="minorHAnsi"/>
          <w:sz w:val="24"/>
          <w:szCs w:val="24"/>
          <w:lang w:val="en-AU"/>
        </w:rPr>
      </w:pPr>
    </w:p>
    <w:p w14:paraId="5AD33642" w14:textId="77777777" w:rsidR="007D4903" w:rsidRDefault="00C8659C">
      <w:pPr>
        <w:pStyle w:val="ListParagraph"/>
        <w:numPr>
          <w:ilvl w:val="0"/>
          <w:numId w:val="16"/>
        </w:numPr>
        <w:spacing w:after="120" w:line="276" w:lineRule="auto"/>
        <w:ind w:left="714" w:hanging="357"/>
        <w:rPr>
          <w:rFonts w:asciiTheme="minorHAnsi" w:hAnsiTheme="minorHAnsi" w:cstheme="minorHAnsi"/>
          <w:sz w:val="24"/>
          <w:szCs w:val="24"/>
          <w:lang w:val="en-AU"/>
        </w:rPr>
      </w:pPr>
      <w:r>
        <w:rPr>
          <w:rFonts w:asciiTheme="minorHAnsi" w:hAnsiTheme="minorHAnsi" w:cstheme="minorBidi"/>
          <w:sz w:val="24"/>
          <w:szCs w:val="24"/>
          <w:lang w:val="en-AU"/>
        </w:rPr>
        <w:t>Identity Validation – confirm the organisation’s identity under MCP Gen 5 vetting.</w:t>
      </w:r>
    </w:p>
    <w:p w14:paraId="5AD33643" w14:textId="77777777" w:rsidR="007D4903" w:rsidRDefault="00C8659C">
      <w:pPr>
        <w:pStyle w:val="ListParagraph"/>
        <w:numPr>
          <w:ilvl w:val="0"/>
          <w:numId w:val="16"/>
        </w:numPr>
        <w:spacing w:after="120" w:line="276" w:lineRule="auto"/>
        <w:ind w:left="714" w:hanging="357"/>
        <w:rPr>
          <w:rFonts w:asciiTheme="minorHAnsi" w:hAnsiTheme="minorHAnsi" w:cstheme="minorBidi"/>
          <w:sz w:val="24"/>
          <w:szCs w:val="24"/>
          <w:lang w:val="en-AU"/>
        </w:rPr>
      </w:pPr>
      <w:r>
        <w:rPr>
          <w:rFonts w:asciiTheme="minorHAnsi" w:hAnsiTheme="minorHAnsi" w:cstheme="minorBidi"/>
          <w:sz w:val="24"/>
          <w:szCs w:val="24"/>
          <w:lang w:val="en-AU"/>
        </w:rPr>
        <w:t xml:space="preserve">Data </w:t>
      </w:r>
      <w:r>
        <w:rPr>
          <w:rFonts w:ascii="Cambria Math" w:hAnsi="Cambria Math" w:cs="Cambria Math"/>
          <w:sz w:val="24"/>
          <w:szCs w:val="24"/>
          <w:lang w:val="en-AU"/>
        </w:rPr>
        <w:noBreakHyphen/>
      </w:r>
      <w:r>
        <w:rPr>
          <w:rFonts w:asciiTheme="minorHAnsi" w:hAnsiTheme="minorHAnsi" w:cstheme="minorBidi"/>
          <w:sz w:val="24"/>
          <w:szCs w:val="24"/>
          <w:lang w:val="en-AU"/>
        </w:rPr>
        <w:t>Privacy Declaration – verify the presence and adequacy of the GDPR (or equivalent) compliance declaration.</w:t>
      </w:r>
    </w:p>
    <w:p w14:paraId="5AD33644" w14:textId="77777777" w:rsidR="007D4903" w:rsidRDefault="00C8659C">
      <w:pPr>
        <w:pStyle w:val="ListParagraph"/>
        <w:numPr>
          <w:ilvl w:val="0"/>
          <w:numId w:val="16"/>
        </w:numPr>
        <w:spacing w:after="120" w:line="276" w:lineRule="auto"/>
        <w:ind w:left="714" w:hanging="357"/>
        <w:rPr>
          <w:rFonts w:asciiTheme="minorHAnsi" w:hAnsiTheme="minorHAnsi" w:cstheme="minorBidi"/>
          <w:sz w:val="24"/>
          <w:szCs w:val="24"/>
          <w:lang w:val="en-AU"/>
        </w:rPr>
      </w:pPr>
      <w:r>
        <w:rPr>
          <w:rFonts w:asciiTheme="minorHAnsi" w:hAnsiTheme="minorHAnsi" w:cstheme="minorBidi"/>
          <w:sz w:val="24"/>
          <w:szCs w:val="24"/>
          <w:lang w:val="en-AU"/>
        </w:rPr>
        <w:t>Implementation validation – Using the testable endpoint (URL) to verify compliance with interfaces described in IALA G1191, Section 4.</w:t>
      </w:r>
    </w:p>
    <w:p w14:paraId="5AD33645" w14:textId="77777777" w:rsidR="007D4903" w:rsidRDefault="00C8659C">
      <w:pPr>
        <w:pStyle w:val="Annex"/>
      </w:pPr>
      <w:r>
        <w:t>References</w:t>
      </w:r>
    </w:p>
    <w:p w14:paraId="5AD33646" w14:textId="77777777" w:rsidR="007D4903" w:rsidRDefault="00C8659C">
      <w:pPr>
        <w:pStyle w:val="ListParagraph"/>
        <w:spacing w:after="120" w:line="276" w:lineRule="auto"/>
        <w:ind w:left="357"/>
        <w:rPr>
          <w:rFonts w:ascii="Calibri" w:hAnsi="Calibri" w:cstheme="minorBidi"/>
          <w:sz w:val="24"/>
          <w:szCs w:val="24"/>
          <w:lang w:val="en-AU"/>
        </w:rPr>
      </w:pPr>
      <w:r>
        <w:rPr>
          <w:rFonts w:ascii="Calibri" w:hAnsi="Calibri" w:cstheme="minorBidi"/>
          <w:sz w:val="24"/>
          <w:szCs w:val="24"/>
          <w:lang w:val="en-AU"/>
        </w:rPr>
        <w:t>G1191: IALA Guideline 1191 ‘Maritime Service Registry (MSR) Technical Specification'</w:t>
      </w:r>
    </w:p>
    <w:sectPr w:rsidR="007D4903">
      <w:headerReference w:type="even" r:id="rId10"/>
      <w:headerReference w:type="default" r:id="rId11"/>
      <w:footerReference w:type="even" r:id="rId12"/>
      <w:footerReference w:type="default" r:id="rId13"/>
      <w:headerReference w:type="first" r:id="rId14"/>
      <w:footerReference w:type="first" r:id="rId15"/>
      <w:pgSz w:w="11906" w:h="16838"/>
      <w:pgMar w:top="1031" w:right="991" w:bottom="1134"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582F" w14:textId="77777777" w:rsidR="00C8659C" w:rsidRDefault="00C8659C">
      <w:r>
        <w:separator/>
      </w:r>
    </w:p>
  </w:endnote>
  <w:endnote w:type="continuationSeparator" w:id="0">
    <w:p w14:paraId="0D4E374B" w14:textId="77777777" w:rsidR="00C8659C" w:rsidRDefault="00C8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altName w:val="Calibri"/>
    <w:charset w:val="01"/>
    <w:family w:val="auto"/>
    <w:pitch w:val="variable"/>
  </w:font>
  <w:font w:name="Liberation Sans">
    <w:altName w:val="Arial"/>
    <w:charset w:val="01"/>
    <w:family w:val="roman"/>
    <w:pitch w:val="variable"/>
  </w:font>
  <w:font w:name="PingFang SC">
    <w:charset w:val="86"/>
    <w:family w:val="swiss"/>
    <w:pitch w:val="variable"/>
    <w:sig w:usb0="A00002FF" w:usb1="7ACFFDFB" w:usb2="00000017" w:usb3="00000000" w:csb0="00040001"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364A" w14:textId="77777777" w:rsidR="007D4903" w:rsidRDefault="007D4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364B" w14:textId="77777777" w:rsidR="007D4903" w:rsidRDefault="00C8659C">
    <w:pPr>
      <w:pStyle w:val="Footer"/>
    </w:pPr>
    <w:r>
      <w:rPr>
        <w:rFonts w:ascii="Calibri" w:hAnsi="Calibri"/>
      </w:rPr>
      <w:tab/>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4</w:t>
    </w:r>
    <w:r>
      <w:rPr>
        <w:rFonts w:ascii="Calibri" w:hAnsi="Calibri"/>
      </w:rPr>
      <w:fldChar w:fldCharType="end"/>
    </w:r>
  </w:p>
  <w:p w14:paraId="5AD3364C" w14:textId="77777777" w:rsidR="007D4903" w:rsidRDefault="007D49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3650" w14:textId="77777777" w:rsidR="007D4903" w:rsidRDefault="007D4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B6C7" w14:textId="77777777" w:rsidR="00C8659C" w:rsidRDefault="00C8659C">
      <w:r>
        <w:separator/>
      </w:r>
    </w:p>
  </w:footnote>
  <w:footnote w:type="continuationSeparator" w:id="0">
    <w:p w14:paraId="1FC70FE8" w14:textId="77777777" w:rsidR="00C8659C" w:rsidRDefault="00C8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3647" w14:textId="77777777" w:rsidR="007D4903" w:rsidRDefault="007D4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3648" w14:textId="77777777" w:rsidR="007D4903" w:rsidRDefault="00C8659C">
    <w:pPr>
      <w:pStyle w:val="Header"/>
      <w:jc w:val="right"/>
    </w:pPr>
    <w:r>
      <w:rPr>
        <w:noProof/>
      </w:rPr>
      <w:drawing>
        <wp:anchor distT="0" distB="0" distL="114300" distR="114300" simplePos="0" relativeHeight="5" behindDoc="1" locked="0" layoutInCell="0" allowOverlap="1" wp14:anchorId="5AD33651" wp14:editId="5AD33652">
          <wp:simplePos x="0" y="0"/>
          <wp:positionH relativeFrom="column">
            <wp:posOffset>5317490</wp:posOffset>
          </wp:positionH>
          <wp:positionV relativeFrom="paragraph">
            <wp:posOffset>-321945</wp:posOffset>
          </wp:positionV>
          <wp:extent cx="483235" cy="335280"/>
          <wp:effectExtent l="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483235" cy="335280"/>
                  </a:xfrm>
                  <a:prstGeom prst="rect">
                    <a:avLst/>
                  </a:prstGeom>
                  <a:noFill/>
                </pic:spPr>
              </pic:pic>
            </a:graphicData>
          </a:graphic>
        </wp:anchor>
      </w:drawing>
    </w:r>
  </w:p>
  <w:p w14:paraId="5AD33649" w14:textId="77777777" w:rsidR="007D4903" w:rsidRDefault="007D49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364D" w14:textId="77777777" w:rsidR="007D4903" w:rsidRDefault="00C8659C">
    <w:pPr>
      <w:pStyle w:val="Header"/>
      <w:jc w:val="center"/>
    </w:pPr>
    <w:r>
      <w:rPr>
        <w:noProof/>
      </w:rPr>
      <w:drawing>
        <wp:anchor distT="0" distB="0" distL="114300" distR="114300" simplePos="0" relativeHeight="2" behindDoc="1" locked="0" layoutInCell="0" allowOverlap="1" wp14:anchorId="5AD33653" wp14:editId="5AD33654">
          <wp:simplePos x="0" y="0"/>
          <wp:positionH relativeFrom="column">
            <wp:posOffset>2689225</wp:posOffset>
          </wp:positionH>
          <wp:positionV relativeFrom="paragraph">
            <wp:posOffset>-203835</wp:posOffset>
          </wp:positionV>
          <wp:extent cx="824230" cy="575945"/>
          <wp:effectExtent l="0" t="0" r="0" b="0"/>
          <wp:wrapSquare wrapText="bothSides"/>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stretch>
                    <a:fillRect/>
                  </a:stretch>
                </pic:blipFill>
                <pic:spPr bwMode="auto">
                  <a:xfrm>
                    <a:off x="0" y="0"/>
                    <a:ext cx="824230" cy="575945"/>
                  </a:xfrm>
                  <a:prstGeom prst="rect">
                    <a:avLst/>
                  </a:prstGeom>
                  <a:noFill/>
                </pic:spPr>
              </pic:pic>
            </a:graphicData>
          </a:graphic>
        </wp:anchor>
      </w:drawing>
    </w:r>
  </w:p>
  <w:p w14:paraId="5AD3364E" w14:textId="77777777" w:rsidR="007D4903" w:rsidRDefault="007D4903">
    <w:pPr>
      <w:pStyle w:val="Header"/>
      <w:jc w:val="center"/>
    </w:pPr>
  </w:p>
  <w:p w14:paraId="5AD3364F" w14:textId="77777777" w:rsidR="007D4903" w:rsidRDefault="007D490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4BB4"/>
    <w:multiLevelType w:val="multilevel"/>
    <w:tmpl w:val="11C4F638"/>
    <w:lvl w:ilvl="0">
      <w:start w:val="1"/>
      <w:numFmt w:val="decimal"/>
      <w:pStyle w:val="Closing"/>
      <w:lvlText w:val="APPENDIX %1"/>
      <w:lvlJc w:val="left"/>
      <w:pPr>
        <w:tabs>
          <w:tab w:val="num" w:pos="0"/>
        </w:tabs>
        <w:ind w:left="1701" w:hanging="1701"/>
      </w:pPr>
      <w:rPr>
        <w:rFonts w:ascii="Calibri" w:hAnsi="Calibri" w:cs="Times New Roman"/>
        <w:b/>
        <w:bCs/>
        <w:i w:val="0"/>
        <w:iCs w:val="0"/>
        <w:caps/>
        <w:strike w:val="0"/>
        <w:dstrike w:val="0"/>
        <w:vanish w:val="0"/>
        <w:color w:val="4F81BD"/>
        <w:spacing w:val="0"/>
        <w:w w:val="100"/>
        <w:kern w:val="0"/>
        <w:position w:val="0"/>
        <w:sz w:val="24"/>
        <w:szCs w:val="24"/>
        <w:u w:val="none"/>
        <w:effect w:val="none"/>
        <w:vertAlign w:val="baseline"/>
        <w:em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0C1CB0"/>
    <w:multiLevelType w:val="multilevel"/>
    <w:tmpl w:val="A7E0E912"/>
    <w:lvl w:ilvl="0">
      <w:start w:val="1"/>
      <w:numFmt w:val="decimal"/>
      <w:pStyle w:val="References"/>
      <w:lvlText w:val="[%1]"/>
      <w:lvlJc w:val="left"/>
      <w:pPr>
        <w:tabs>
          <w:tab w:val="num" w:pos="567"/>
        </w:tabs>
        <w:ind w:left="567" w:hanging="567"/>
      </w:pPr>
      <w:rPr>
        <w:rFonts w:ascii="Calibri" w:hAnsi="Calibri"/>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1232B98"/>
    <w:multiLevelType w:val="multilevel"/>
    <w:tmpl w:val="65CE0E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5354628"/>
    <w:multiLevelType w:val="multilevel"/>
    <w:tmpl w:val="7BB8C5B4"/>
    <w:lvl w:ilvl="0">
      <w:start w:val="1"/>
      <w:numFmt w:val="decimal"/>
      <w:pStyle w:val="AnnexFigure"/>
      <w:lvlText w:val="Figure %1"/>
      <w:lvlJc w:val="left"/>
      <w:pPr>
        <w:tabs>
          <w:tab w:val="num" w:pos="1701"/>
        </w:tabs>
        <w:ind w:left="1701" w:hanging="1701"/>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BEA1976"/>
    <w:multiLevelType w:val="multilevel"/>
    <w:tmpl w:val="1618DC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2D453FB"/>
    <w:multiLevelType w:val="multilevel"/>
    <w:tmpl w:val="0AC6A234"/>
    <w:lvl w:ilvl="0">
      <w:start w:val="1"/>
      <w:numFmt w:val="decimal"/>
      <w:pStyle w:val="Figure"/>
      <w:lvlText w:val="Figure %1"/>
      <w:lvlJc w:val="left"/>
      <w:pPr>
        <w:tabs>
          <w:tab w:val="num" w:pos="1134"/>
        </w:tabs>
        <w:ind w:left="1134" w:hanging="1134"/>
      </w:pPr>
      <w:rPr>
        <w:rFonts w:ascii="Calibri" w:hAnsi="Calibri"/>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8CD6959"/>
    <w:multiLevelType w:val="multilevel"/>
    <w:tmpl w:val="9A58D2D6"/>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B20216D"/>
    <w:multiLevelType w:val="multilevel"/>
    <w:tmpl w:val="21262D76"/>
    <w:lvl w:ilvl="0">
      <w:start w:val="1"/>
      <w:numFmt w:val="decimal"/>
      <w:pStyle w:val="ListBullet3"/>
      <w:lvlText w:val="%1"/>
      <w:lvlJc w:val="left"/>
      <w:pPr>
        <w:tabs>
          <w:tab w:val="num" w:pos="567"/>
        </w:tabs>
        <w:ind w:left="567" w:hanging="567"/>
      </w:pPr>
      <w:rPr>
        <w:rFonts w:ascii="Calibri" w:hAnsi="Calibri"/>
        <w:b w:val="0"/>
        <w:i w:val="0"/>
        <w:sz w:val="22"/>
        <w:szCs w:val="22"/>
      </w:r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0085983"/>
    <w:multiLevelType w:val="multilevel"/>
    <w:tmpl w:val="83DCF672"/>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lvlText w:val="%1.%2"/>
      <w:lvlJc w:val="left"/>
      <w:pPr>
        <w:tabs>
          <w:tab w:val="num" w:pos="851"/>
        </w:tabs>
        <w:ind w:left="851" w:hanging="851"/>
      </w:pPr>
      <w:rPr>
        <w:rFonts w:ascii="Arial" w:hAnsi="Arial"/>
        <w:b/>
        <w:i w:val="0"/>
        <w:sz w:val="22"/>
      </w:rPr>
    </w:lvl>
    <w:lvl w:ilvl="2">
      <w:start w:val="1"/>
      <w:numFmt w:val="decimal"/>
      <w:lvlText w:val="%1.%2.%3"/>
      <w:lvlJc w:val="left"/>
      <w:pPr>
        <w:tabs>
          <w:tab w:val="num" w:pos="992"/>
        </w:tabs>
        <w:ind w:left="992" w:hanging="992"/>
      </w:pPr>
      <w:rPr>
        <w:rFonts w:ascii="Arial" w:hAnsi="Arial"/>
        <w:b w:val="0"/>
        <w:i w:val="0"/>
        <w:sz w:val="22"/>
      </w:rPr>
    </w:lvl>
    <w:lvl w:ilvl="3">
      <w:start w:val="1"/>
      <w:numFmt w:val="decimal"/>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8734584"/>
    <w:multiLevelType w:val="multilevel"/>
    <w:tmpl w:val="425E6C8E"/>
    <w:lvl w:ilvl="0">
      <w:start w:val="1"/>
      <w:numFmt w:val="decimal"/>
      <w:pStyle w:val="AnnexHeading1"/>
      <w:lvlText w:val="%1"/>
      <w:lvlJc w:val="left"/>
      <w:pPr>
        <w:tabs>
          <w:tab w:val="num" w:pos="567"/>
        </w:tabs>
        <w:ind w:left="567" w:hanging="567"/>
      </w:pPr>
      <w:rPr>
        <w:rFonts w:ascii="Calibri" w:hAnsi="Calibri"/>
        <w:b/>
        <w:i w:val="0"/>
        <w:sz w:val="24"/>
      </w:rPr>
    </w:lvl>
    <w:lvl w:ilvl="1">
      <w:start w:val="1"/>
      <w:numFmt w:val="decimal"/>
      <w:lvlText w:val="%1.%2"/>
      <w:lvlJc w:val="left"/>
      <w:pPr>
        <w:tabs>
          <w:tab w:val="num" w:pos="851"/>
        </w:tabs>
        <w:ind w:left="851" w:hanging="851"/>
      </w:pPr>
      <w:rPr>
        <w:rFonts w:ascii="Arial Bold" w:hAnsi="Arial Bold"/>
        <w:b/>
        <w:i w:val="0"/>
        <w:sz w:val="22"/>
      </w:rPr>
    </w:lvl>
    <w:lvl w:ilvl="2">
      <w:start w:val="1"/>
      <w:numFmt w:val="decimal"/>
      <w:lvlText w:val="%2.%3.%1"/>
      <w:lvlJc w:val="left"/>
      <w:pPr>
        <w:tabs>
          <w:tab w:val="num" w:pos="992"/>
        </w:tabs>
        <w:ind w:left="992" w:hanging="992"/>
      </w:pPr>
      <w:rPr>
        <w:rFonts w:ascii="Arial" w:hAnsi="Arial"/>
        <w:b w:val="0"/>
        <w:i w:val="0"/>
        <w:sz w:val="22"/>
      </w:rPr>
    </w:lvl>
    <w:lvl w:ilvl="3">
      <w:start w:val="1"/>
      <w:numFmt w:val="decimal"/>
      <w:lvlText w:val="%1.%2.%3.%4"/>
      <w:lvlJc w:val="left"/>
      <w:pPr>
        <w:tabs>
          <w:tab w:val="num" w:pos="1134"/>
        </w:tabs>
        <w:ind w:left="1134" w:hanging="1134"/>
      </w:pPr>
      <w:rPr>
        <w:rFonts w:ascii="Arial" w:hAnsi="Arial"/>
        <w:b w:val="0"/>
        <w:i w:val="0"/>
        <w:sz w:val="22"/>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50423C6A"/>
    <w:multiLevelType w:val="multilevel"/>
    <w:tmpl w:val="F9724490"/>
    <w:lvl w:ilvl="0">
      <w:start w:val="1"/>
      <w:numFmt w:val="decimal"/>
      <w:pStyle w:val="AnnexTable"/>
      <w:lvlText w:val="Table %1"/>
      <w:lvlJc w:val="left"/>
      <w:pPr>
        <w:tabs>
          <w:tab w:val="num" w:pos="1134"/>
        </w:tabs>
        <w:ind w:left="1134" w:hanging="1134"/>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2CF7A1B"/>
    <w:multiLevelType w:val="multilevel"/>
    <w:tmpl w:val="4EBA95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CCB6AD0"/>
    <w:multiLevelType w:val="multilevel"/>
    <w:tmpl w:val="E424EDE6"/>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6DF06239"/>
    <w:multiLevelType w:val="multilevel"/>
    <w:tmpl w:val="D460FA84"/>
    <w:lvl w:ilvl="0">
      <w:start w:val="1"/>
      <w:numFmt w:val="decimal"/>
      <w:pStyle w:val="equation"/>
      <w:lvlText w:val="(equation %1)"/>
      <w:lvlJc w:val="right"/>
      <w:pPr>
        <w:tabs>
          <w:tab w:val="num" w:pos="0"/>
        </w:tabs>
        <w:ind w:left="8180" w:hanging="360"/>
      </w:pPr>
      <w:rPr>
        <w:rFonts w:ascii="Calibri" w:hAnsi="Calibri" w:cs="Times New Roman"/>
        <w:b w:val="0"/>
        <w:bCs w:val="0"/>
        <w:i w:val="0"/>
        <w:iCs w:val="0"/>
        <w:caps w:val="0"/>
        <w:smallCaps w:val="0"/>
        <w:strike w:val="0"/>
        <w:dstrike w:val="0"/>
        <w:vanish w:val="0"/>
        <w:color w:val="000000"/>
        <w:spacing w:val="0"/>
        <w:kern w:val="0"/>
        <w:position w:val="0"/>
        <w:sz w:val="20"/>
        <w:u w:val="none"/>
        <w:vertAlign w:val="baseline"/>
        <w:em w:val="none"/>
      </w:rPr>
    </w:lvl>
    <w:lvl w:ilvl="1">
      <w:start w:val="1"/>
      <w:numFmt w:val="lowerLetter"/>
      <w:lvlText w:val="%2."/>
      <w:lvlJc w:val="left"/>
      <w:pPr>
        <w:tabs>
          <w:tab w:val="num" w:pos="0"/>
        </w:tabs>
        <w:ind w:left="8900" w:hanging="360"/>
      </w:pPr>
    </w:lvl>
    <w:lvl w:ilvl="2">
      <w:start w:val="1"/>
      <w:numFmt w:val="lowerRoman"/>
      <w:lvlText w:val="%3."/>
      <w:lvlJc w:val="right"/>
      <w:pPr>
        <w:tabs>
          <w:tab w:val="num" w:pos="0"/>
        </w:tabs>
        <w:ind w:left="9620" w:hanging="180"/>
      </w:pPr>
    </w:lvl>
    <w:lvl w:ilvl="3">
      <w:start w:val="1"/>
      <w:numFmt w:val="decimal"/>
      <w:lvlText w:val="%4."/>
      <w:lvlJc w:val="left"/>
      <w:pPr>
        <w:tabs>
          <w:tab w:val="num" w:pos="0"/>
        </w:tabs>
        <w:ind w:left="10340" w:hanging="360"/>
      </w:pPr>
    </w:lvl>
    <w:lvl w:ilvl="4">
      <w:start w:val="1"/>
      <w:numFmt w:val="lowerLetter"/>
      <w:lvlText w:val="%5."/>
      <w:lvlJc w:val="left"/>
      <w:pPr>
        <w:tabs>
          <w:tab w:val="num" w:pos="0"/>
        </w:tabs>
        <w:ind w:left="11060" w:hanging="360"/>
      </w:pPr>
    </w:lvl>
    <w:lvl w:ilvl="5">
      <w:start w:val="1"/>
      <w:numFmt w:val="lowerRoman"/>
      <w:lvlText w:val="%6."/>
      <w:lvlJc w:val="right"/>
      <w:pPr>
        <w:tabs>
          <w:tab w:val="num" w:pos="0"/>
        </w:tabs>
        <w:ind w:left="11780" w:hanging="180"/>
      </w:pPr>
    </w:lvl>
    <w:lvl w:ilvl="6">
      <w:start w:val="1"/>
      <w:numFmt w:val="decimal"/>
      <w:lvlText w:val="%7."/>
      <w:lvlJc w:val="left"/>
      <w:pPr>
        <w:tabs>
          <w:tab w:val="num" w:pos="0"/>
        </w:tabs>
        <w:ind w:left="12500" w:hanging="360"/>
      </w:pPr>
    </w:lvl>
    <w:lvl w:ilvl="7">
      <w:start w:val="1"/>
      <w:numFmt w:val="lowerLetter"/>
      <w:lvlText w:val="%8."/>
      <w:lvlJc w:val="left"/>
      <w:pPr>
        <w:tabs>
          <w:tab w:val="num" w:pos="0"/>
        </w:tabs>
        <w:ind w:left="13220" w:hanging="360"/>
      </w:pPr>
    </w:lvl>
    <w:lvl w:ilvl="8">
      <w:start w:val="1"/>
      <w:numFmt w:val="lowerRoman"/>
      <w:lvlText w:val="%9."/>
      <w:lvlJc w:val="right"/>
      <w:pPr>
        <w:tabs>
          <w:tab w:val="num" w:pos="0"/>
        </w:tabs>
        <w:ind w:left="13940" w:hanging="180"/>
      </w:pPr>
    </w:lvl>
  </w:abstractNum>
  <w:abstractNum w:abstractNumId="14" w15:restartNumberingAfterBreak="0">
    <w:nsid w:val="6E9F1AE9"/>
    <w:multiLevelType w:val="multilevel"/>
    <w:tmpl w:val="3DA2F608"/>
    <w:lvl w:ilvl="0">
      <w:start w:val="1"/>
      <w:numFmt w:val="bullet"/>
      <w:pStyle w:val="Bullet3"/>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3C175E6"/>
    <w:multiLevelType w:val="multilevel"/>
    <w:tmpl w:val="B13278E4"/>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747B6103"/>
    <w:multiLevelType w:val="multilevel"/>
    <w:tmpl w:val="EFE0E3E6"/>
    <w:lvl w:ilvl="0">
      <w:start w:val="1"/>
      <w:numFmt w:val="bullet"/>
      <w:pStyle w:val="Bullet2"/>
      <w:lvlText w:val="-"/>
      <w:lvlJc w:val="left"/>
      <w:pPr>
        <w:tabs>
          <w:tab w:val="num" w:pos="0"/>
        </w:tabs>
        <w:ind w:left="2421" w:hanging="360"/>
      </w:pPr>
      <w:rPr>
        <w:rFonts w:ascii="Arial" w:hAnsi="Arial" w:cs="Aria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num w:numId="1" w16cid:durableId="1786145">
    <w:abstractNumId w:val="15"/>
  </w:num>
  <w:num w:numId="2" w16cid:durableId="690574831">
    <w:abstractNumId w:val="4"/>
  </w:num>
  <w:num w:numId="3" w16cid:durableId="80682075">
    <w:abstractNumId w:val="3"/>
  </w:num>
  <w:num w:numId="4" w16cid:durableId="1577938491">
    <w:abstractNumId w:val="9"/>
  </w:num>
  <w:num w:numId="5" w16cid:durableId="820270738">
    <w:abstractNumId w:val="10"/>
  </w:num>
  <w:num w:numId="6" w16cid:durableId="1862812974">
    <w:abstractNumId w:val="8"/>
  </w:num>
  <w:num w:numId="7" w16cid:durableId="639269467">
    <w:abstractNumId w:val="16"/>
  </w:num>
  <w:num w:numId="8" w16cid:durableId="1469468157">
    <w:abstractNumId w:val="5"/>
  </w:num>
  <w:num w:numId="9" w16cid:durableId="380135833">
    <w:abstractNumId w:val="1"/>
  </w:num>
  <w:num w:numId="10" w16cid:durableId="805394977">
    <w:abstractNumId w:val="6"/>
  </w:num>
  <w:num w:numId="11" w16cid:durableId="1396394200">
    <w:abstractNumId w:val="7"/>
  </w:num>
  <w:num w:numId="12" w16cid:durableId="589852340">
    <w:abstractNumId w:val="13"/>
  </w:num>
  <w:num w:numId="13" w16cid:durableId="1385636874">
    <w:abstractNumId w:val="14"/>
  </w:num>
  <w:num w:numId="14" w16cid:durableId="72969523">
    <w:abstractNumId w:val="0"/>
  </w:num>
  <w:num w:numId="15" w16cid:durableId="1053576568">
    <w:abstractNumId w:val="2"/>
  </w:num>
  <w:num w:numId="16" w16cid:durableId="1133518984">
    <w:abstractNumId w:val="11"/>
  </w:num>
  <w:num w:numId="17" w16cid:durableId="8502193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903"/>
    <w:rsid w:val="00426694"/>
    <w:rsid w:val="007D4903"/>
    <w:rsid w:val="00C8659C"/>
    <w:rsid w:val="00EE14B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AD335C1"/>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Calibri"/>
      <w:sz w:val="22"/>
      <w:szCs w:val="22"/>
    </w:rPr>
  </w:style>
  <w:style w:type="paragraph" w:styleId="Heading1">
    <w:name w:val="heading 1"/>
    <w:basedOn w:val="Normal"/>
    <w:next w:val="BodyText"/>
    <w:uiPriority w:val="9"/>
    <w:qFormat/>
    <w:pPr>
      <w:keepNext/>
      <w:numPr>
        <w:numId w:val="1"/>
      </w:numPr>
      <w:spacing w:before="960" w:after="480"/>
      <w:outlineLvl w:val="0"/>
    </w:pPr>
    <w:rPr>
      <w:rFonts w:ascii="Calibri" w:hAnsi="Calibri"/>
      <w:b/>
      <w:caps/>
      <w:color w:val="0070C0"/>
      <w:kern w:val="2"/>
      <w:sz w:val="24"/>
      <w:lang w:eastAsia="de-DE"/>
    </w:rPr>
  </w:style>
  <w:style w:type="paragraph" w:styleId="Heading2">
    <w:name w:val="heading 2"/>
    <w:basedOn w:val="Normal"/>
    <w:next w:val="BodyText"/>
    <w:uiPriority w:val="9"/>
    <w:semiHidden/>
    <w:unhideWhenUsed/>
    <w:qFormat/>
    <w:pPr>
      <w:numPr>
        <w:ilvl w:val="1"/>
        <w:numId w:val="1"/>
      </w:numPr>
      <w:spacing w:before="480" w:after="240"/>
      <w:outlineLvl w:val="1"/>
    </w:pPr>
    <w:rPr>
      <w:rFonts w:ascii="Calibri" w:hAnsi="Calibri"/>
      <w:b/>
      <w:color w:val="0070C0"/>
      <w:sz w:val="24"/>
      <w:szCs w:val="24"/>
    </w:rPr>
  </w:style>
  <w:style w:type="paragraph" w:styleId="Heading3">
    <w:name w:val="heading 3"/>
    <w:basedOn w:val="Normal"/>
    <w:next w:val="BodyText"/>
    <w:uiPriority w:val="9"/>
    <w:semiHidden/>
    <w:unhideWhenUsed/>
    <w:qFormat/>
    <w:pPr>
      <w:keepNext/>
      <w:numPr>
        <w:ilvl w:val="2"/>
        <w:numId w:val="1"/>
      </w:numPr>
      <w:spacing w:before="240" w:after="120"/>
      <w:outlineLvl w:val="2"/>
    </w:pPr>
    <w:rPr>
      <w:rFonts w:ascii="Calibri" w:hAnsi="Calibri"/>
      <w:szCs w:val="20"/>
      <w:lang w:eastAsia="de-DE"/>
    </w:rPr>
  </w:style>
  <w:style w:type="paragraph" w:styleId="Heading4">
    <w:name w:val="heading 4"/>
    <w:basedOn w:val="Normal"/>
    <w:next w:val="BodyTextIndent"/>
    <w:uiPriority w:val="9"/>
    <w:semiHidden/>
    <w:unhideWhenUsed/>
    <w:qFormat/>
    <w:pPr>
      <w:keepNext/>
      <w:numPr>
        <w:ilvl w:val="3"/>
        <w:numId w:val="1"/>
      </w:numPr>
      <w:spacing w:before="120" w:after="120"/>
      <w:outlineLvl w:val="3"/>
    </w:pPr>
    <w:rPr>
      <w:szCs w:val="20"/>
      <w:lang w:val="en-US" w:eastAsia="de-DE"/>
    </w:rPr>
  </w:style>
  <w:style w:type="paragraph" w:styleId="Heading5">
    <w:name w:val="heading 5"/>
    <w:basedOn w:val="Normal"/>
    <w:next w:val="Normal"/>
    <w:uiPriority w:val="9"/>
    <w:semiHidden/>
    <w:unhideWhenUsed/>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uiPriority w:val="9"/>
    <w:semiHidden/>
    <w:unhideWhenUsed/>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제목 1 Char"/>
    <w:qFormat/>
    <w:rPr>
      <w:rFonts w:cs="Calibri"/>
      <w:b/>
      <w:caps/>
      <w:color w:val="0070C0"/>
      <w:kern w:val="2"/>
      <w:sz w:val="24"/>
      <w:szCs w:val="22"/>
      <w:lang w:eastAsia="de-DE"/>
    </w:rPr>
  </w:style>
  <w:style w:type="character" w:customStyle="1" w:styleId="2Char">
    <w:name w:val="제목 2 Char"/>
    <w:qFormat/>
    <w:rPr>
      <w:rFonts w:cs="Calibri"/>
      <w:b/>
      <w:color w:val="0070C0"/>
      <w:sz w:val="24"/>
      <w:szCs w:val="24"/>
    </w:rPr>
  </w:style>
  <w:style w:type="character" w:customStyle="1" w:styleId="Char">
    <w:name w:val="본문 Char"/>
    <w:qFormat/>
    <w:rPr>
      <w:rFonts w:ascii="Arial" w:hAnsi="Arial" w:cs="Times New Roman"/>
      <w:szCs w:val="24"/>
    </w:rPr>
  </w:style>
  <w:style w:type="character" w:customStyle="1" w:styleId="Char0">
    <w:name w:val="바닥글 Char"/>
    <w:qFormat/>
    <w:rPr>
      <w:rFonts w:ascii="Arial" w:hAnsi="Arial" w:cs="Times New Roman"/>
      <w:szCs w:val="24"/>
    </w:rPr>
  </w:style>
  <w:style w:type="character" w:customStyle="1" w:styleId="Char1">
    <w:name w:val="머리글 Char"/>
    <w:qFormat/>
    <w:rPr>
      <w:rFonts w:ascii="Arial" w:eastAsia="Calibri" w:hAnsi="Arial" w:cs="Times New Roman"/>
      <w:szCs w:val="24"/>
      <w:lang w:eastAsia="en-GB"/>
    </w:rPr>
  </w:style>
  <w:style w:type="character" w:customStyle="1" w:styleId="3Char">
    <w:name w:val="제목 3 Char"/>
    <w:qFormat/>
    <w:rPr>
      <w:rFonts w:cs="Calibri"/>
      <w:sz w:val="22"/>
      <w:lang w:eastAsia="de-DE"/>
    </w:rPr>
  </w:style>
  <w:style w:type="character" w:customStyle="1" w:styleId="4Char">
    <w:name w:val="제목 4 Char"/>
    <w:qFormat/>
    <w:rPr>
      <w:rFonts w:ascii="Arial" w:hAnsi="Arial" w:cs="Calibri"/>
      <w:szCs w:val="20"/>
      <w:lang w:val="en-US" w:eastAsia="de-DE"/>
    </w:rPr>
  </w:style>
  <w:style w:type="character" w:customStyle="1" w:styleId="5Char">
    <w:name w:val="제목 5 Char"/>
    <w:qFormat/>
    <w:rPr>
      <w:rFonts w:ascii="Arial" w:eastAsia="Times New Roman" w:hAnsi="Arial" w:cs="Times New Roman"/>
      <w:szCs w:val="20"/>
      <w:lang w:val="de-DE" w:eastAsia="de-DE"/>
    </w:rPr>
  </w:style>
  <w:style w:type="character" w:customStyle="1" w:styleId="6Char">
    <w:name w:val="제목 6 Char"/>
    <w:qFormat/>
    <w:rPr>
      <w:rFonts w:ascii="Arial" w:hAnsi="Arial" w:cs="Calibri"/>
      <w:szCs w:val="20"/>
      <w:lang w:val="de-DE" w:eastAsia="de-DE"/>
    </w:rPr>
  </w:style>
  <w:style w:type="character" w:customStyle="1" w:styleId="7Char">
    <w:name w:val="제목 7 Char"/>
    <w:qFormat/>
    <w:rPr>
      <w:rFonts w:ascii="Arial" w:hAnsi="Arial" w:cs="Calibri"/>
      <w:szCs w:val="20"/>
      <w:lang w:val="de-DE" w:eastAsia="de-DE"/>
    </w:rPr>
  </w:style>
  <w:style w:type="character" w:customStyle="1" w:styleId="8Char">
    <w:name w:val="제목 8 Char"/>
    <w:qFormat/>
    <w:rPr>
      <w:rFonts w:ascii="Arial" w:hAnsi="Arial" w:cs="Calibri"/>
      <w:szCs w:val="20"/>
      <w:lang w:val="de-DE" w:eastAsia="de-DE"/>
    </w:rPr>
  </w:style>
  <w:style w:type="character" w:customStyle="1" w:styleId="9Char">
    <w:name w:val="제목 9 Char"/>
    <w:qFormat/>
    <w:rPr>
      <w:rFonts w:ascii="Arial" w:hAnsi="Arial" w:cs="Calibri"/>
      <w:szCs w:val="20"/>
      <w:lang w:val="de-DE" w:eastAsia="de-DE"/>
    </w:rPr>
  </w:style>
  <w:style w:type="character" w:styleId="Hyperlink">
    <w:name w:val="Hyperlink"/>
    <w:rPr>
      <w:strike w:val="0"/>
      <w:dstrike w:val="0"/>
      <w:position w:val="0"/>
      <w:sz w:val="20"/>
      <w:vertAlign w:val="baseline"/>
    </w:rPr>
  </w:style>
  <w:style w:type="character" w:styleId="PageNumber">
    <w:name w:val="page number"/>
    <w:basedOn w:val="DefaultParagraphFont"/>
    <w:qFormat/>
  </w:style>
  <w:style w:type="character" w:customStyle="1" w:styleId="Char2">
    <w:name w:val="본문 들여쓰기 Char"/>
    <w:qFormat/>
    <w:rPr>
      <w:rFonts w:ascii="Arial" w:hAnsi="Arial" w:cs="Times New Roman"/>
      <w:szCs w:val="24"/>
    </w:rPr>
  </w:style>
  <w:style w:type="character" w:customStyle="1" w:styleId="2Char0">
    <w:name w:val="본문 들여쓰기 2 Char"/>
    <w:qFormat/>
    <w:rPr>
      <w:rFonts w:ascii="Arial" w:hAnsi="Arial" w:cs="Times New Roman"/>
      <w:szCs w:val="24"/>
      <w:lang w:eastAsia="de-DE"/>
    </w:rPr>
  </w:style>
  <w:style w:type="character" w:customStyle="1" w:styleId="FootnoteCharactersuser">
    <w:name w:val="Footnote Characters (user)"/>
    <w:qFormat/>
    <w:rPr>
      <w:rFonts w:ascii="Arial" w:hAnsi="Arial"/>
      <w:sz w:val="16"/>
    </w:rPr>
  </w:style>
  <w:style w:type="character" w:customStyle="1" w:styleId="FootnoteReference1">
    <w:name w:val="Footnote Reference1"/>
    <w:qFormat/>
    <w:rPr>
      <w:rFonts w:ascii="Arial" w:hAnsi="Arial"/>
      <w:sz w:val="16"/>
      <w:vertAlign w:val="superscript"/>
    </w:rPr>
  </w:style>
  <w:style w:type="character" w:customStyle="1" w:styleId="Char3">
    <w:name w:val="각주 텍스트 Char"/>
    <w:qFormat/>
    <w:rPr>
      <w:rFonts w:ascii="Arial" w:hAnsi="Arial" w:cs="Times New Roman"/>
      <w:sz w:val="20"/>
      <w:szCs w:val="20"/>
    </w:rPr>
  </w:style>
  <w:style w:type="character" w:customStyle="1" w:styleId="Char4">
    <w:name w:val="부제 Char"/>
    <w:qFormat/>
    <w:rPr>
      <w:rFonts w:ascii="Arial" w:hAnsi="Arial" w:cs="Arial"/>
      <w:szCs w:val="24"/>
    </w:rPr>
  </w:style>
  <w:style w:type="character" w:customStyle="1" w:styleId="Char5">
    <w:name w:val="제목 Char"/>
    <w:qFormat/>
    <w:rPr>
      <w:rFonts w:ascii="Arial" w:hAnsi="Arial" w:cs="Arial"/>
      <w:b/>
      <w:bCs/>
      <w:kern w:val="2"/>
      <w:sz w:val="32"/>
      <w:szCs w:val="32"/>
    </w:rPr>
  </w:style>
  <w:style w:type="character" w:customStyle="1" w:styleId="Char6">
    <w:name w:val="풍선 도움말 텍스트 Char"/>
    <w:basedOn w:val="DefaultParagraphFont"/>
    <w:qFormat/>
    <w:rPr>
      <w:rFonts w:ascii="Tahoma" w:hAnsi="Tahoma" w:cs="Tahoma"/>
      <w:sz w:val="16"/>
      <w:szCs w:val="16"/>
    </w:rPr>
  </w:style>
  <w:style w:type="character" w:styleId="CommentReference">
    <w:name w:val="annotation reference"/>
    <w:basedOn w:val="DefaultParagraphFont"/>
    <w:qFormat/>
    <w:rPr>
      <w:sz w:val="16"/>
      <w:szCs w:val="16"/>
    </w:rPr>
  </w:style>
  <w:style w:type="character" w:customStyle="1" w:styleId="Char7">
    <w:name w:val="메모 텍스트 Char"/>
    <w:basedOn w:val="DefaultParagraphFont"/>
    <w:qFormat/>
    <w:rPr>
      <w:rFonts w:ascii="Arial" w:hAnsi="Arial" w:cs="Calibri"/>
    </w:rPr>
  </w:style>
  <w:style w:type="character" w:customStyle="1" w:styleId="Char8">
    <w:name w:val="메모 주제 Char"/>
    <w:basedOn w:val="Char7"/>
    <w:qFormat/>
    <w:rPr>
      <w:rFonts w:ascii="Arial" w:hAnsi="Arial" w:cs="Calibri"/>
      <w:b/>
      <w:bCs/>
    </w:rPr>
  </w:style>
  <w:style w:type="character" w:customStyle="1" w:styleId="NumberingSymbols">
    <w:name w:val="Numbering Symbols"/>
    <w:qFormat/>
  </w:style>
  <w:style w:type="character" w:customStyle="1" w:styleId="Bulletsuser">
    <w:name w:val="Bullets (user)"/>
    <w:qFormat/>
    <w:rPr>
      <w:rFonts w:ascii="OpenSymbol" w:eastAsia="OpenSymbol" w:hAnsi="OpenSymbol" w:cs="OpenSymbol"/>
    </w:rPr>
  </w:style>
  <w:style w:type="character" w:styleId="Strong">
    <w:name w:val="Strong"/>
    <w:basedOn w:val="DefaultParagraphFont"/>
    <w:uiPriority w:val="22"/>
    <w:qFormat/>
    <w:rsid w:val="00EF27AD"/>
    <w:rPr>
      <w:b/>
      <w:bCs/>
    </w:rPr>
  </w:style>
  <w:style w:type="character" w:styleId="Emphasis">
    <w:name w:val="Emphasis"/>
    <w:basedOn w:val="DefaultParagraphFont"/>
    <w:uiPriority w:val="20"/>
    <w:qFormat/>
    <w:rsid w:val="00EF27AD"/>
    <w:rPr>
      <w:i/>
      <w:iC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Lucida Sans"/>
      <w:sz w:val="28"/>
      <w:szCs w:val="28"/>
    </w:rPr>
  </w:style>
  <w:style w:type="paragraph" w:styleId="BodyText">
    <w:name w:val="Body Text"/>
    <w:basedOn w:val="Normal"/>
    <w:pPr>
      <w:spacing w:after="120"/>
      <w:jc w:val="both"/>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Annex">
    <w:name w:val="Annex"/>
    <w:basedOn w:val="Heading1"/>
    <w:next w:val="Normal"/>
    <w:qFormat/>
    <w:pPr>
      <w:numPr>
        <w:numId w:val="0"/>
      </w:numPr>
      <w:tabs>
        <w:tab w:val="left" w:pos="1701"/>
      </w:tabs>
      <w:jc w:val="both"/>
      <w:outlineLvl w:val="9"/>
    </w:pPr>
    <w:rPr>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tabs>
        <w:tab w:val="left" w:pos="567"/>
      </w:tabs>
      <w:spacing w:before="120" w:after="120"/>
      <w:ind w:left="567" w:hanging="567"/>
    </w:pPr>
    <w:rPr>
      <w:rFonts w:cs="Arial"/>
      <w:b/>
    </w:rPr>
  </w:style>
  <w:style w:type="paragraph" w:customStyle="1" w:styleId="AnnexHeading3">
    <w:name w:val="Annex Heading 3"/>
    <w:basedOn w:val="Normal"/>
    <w:next w:val="Normal"/>
    <w:qFormat/>
    <w:pPr>
      <w:tabs>
        <w:tab w:val="left" w:pos="567"/>
      </w:tabs>
      <w:spacing w:before="120" w:after="120"/>
      <w:ind w:left="567" w:hanging="567"/>
    </w:pPr>
    <w:rPr>
      <w:rFonts w:cs="Arial"/>
    </w:rPr>
  </w:style>
  <w:style w:type="paragraph" w:customStyle="1" w:styleId="AnnexHeading4">
    <w:name w:val="Annex Heading 4"/>
    <w:basedOn w:val="Normal"/>
    <w:next w:val="BodyText"/>
    <w:qFormat/>
    <w:pPr>
      <w:tabs>
        <w:tab w:val="left" w:pos="567"/>
      </w:tabs>
      <w:spacing w:before="120" w:after="120"/>
      <w:ind w:left="567" w:hanging="567"/>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paragraph" w:customStyle="1" w:styleId="Bullet1">
    <w:name w:val="Bullet 1"/>
    <w:basedOn w:val="Normal"/>
    <w:qFormat/>
    <w:pPr>
      <w:tabs>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pacing w:after="120"/>
      <w:ind w:left="1701"/>
      <w:jc w:val="both"/>
    </w:pPr>
    <w:rPr>
      <w:rFonts w:cs="Arial"/>
    </w:rPr>
  </w:style>
  <w:style w:type="paragraph" w:customStyle="1" w:styleId="Bullet3">
    <w:name w:val="Bullet 3"/>
    <w:basedOn w:val="Normal"/>
    <w:qFormat/>
    <w:pPr>
      <w:numPr>
        <w:numId w:val="13"/>
      </w:numPr>
      <w:tabs>
        <w:tab w:val="left" w:pos="2268"/>
      </w:tabs>
      <w:spacing w:after="60"/>
      <w:ind w:left="2268" w:hanging="567"/>
      <w:jc w:val="both"/>
    </w:pPr>
    <w:rPr>
      <w:rFonts w:cs="Arial"/>
      <w:sz w:val="20"/>
    </w:rPr>
  </w:style>
  <w:style w:type="paragraph" w:customStyle="1" w:styleId="Bullet3text">
    <w:name w:val="Bullet 3 text"/>
    <w:basedOn w:val="Normal"/>
    <w:qFormat/>
    <w:pPr>
      <w:spacing w:after="60"/>
      <w:ind w:left="2268"/>
    </w:pPr>
    <w:rPr>
      <w:rFonts w:cs="Arial"/>
      <w:sz w:val="20"/>
    </w:rPr>
  </w:style>
  <w:style w:type="paragraph" w:customStyle="1" w:styleId="Figure">
    <w:name w:val="Figure_#"/>
    <w:basedOn w:val="Normal"/>
    <w:next w:val="Normal"/>
    <w:qFormat/>
    <w:pPr>
      <w:numPr>
        <w:numId w:val="8"/>
      </w:numPr>
      <w:spacing w:before="120" w:after="120"/>
      <w:jc w:val="center"/>
    </w:pPr>
    <w:rPr>
      <w:i/>
      <w:szCs w:val="20"/>
    </w:rPr>
  </w:style>
  <w:style w:type="paragraph" w:customStyle="1" w:styleId="HeaderandFooter">
    <w:name w:val="Header and Footer"/>
    <w:basedOn w:val="Normal"/>
    <w:qFormat/>
  </w:style>
  <w:style w:type="paragraph" w:styleId="Footer">
    <w:name w:val="footer"/>
    <w:basedOn w:val="Normal"/>
    <w:pPr>
      <w:tabs>
        <w:tab w:val="center" w:pos="4820"/>
        <w:tab w:val="right" w:pos="9639"/>
      </w:tabs>
    </w:pPr>
  </w:style>
  <w:style w:type="paragraph" w:styleId="Header">
    <w:name w:val="header"/>
    <w:basedOn w:val="Normal"/>
    <w:pPr>
      <w:tabs>
        <w:tab w:val="center" w:pos="4820"/>
        <w:tab w:val="right" w:pos="9639"/>
      </w:tabs>
    </w:pPr>
  </w:style>
  <w:style w:type="paragraph" w:styleId="ListBullet3">
    <w:name w:val="List Bullet 3"/>
    <w:basedOn w:val="Normal"/>
    <w:qFormat/>
    <w:pPr>
      <w:numPr>
        <w:numId w:val="11"/>
      </w:numPr>
      <w:spacing w:after="120"/>
      <w:jc w:val="both"/>
    </w:pPr>
    <w:rPr>
      <w:rFonts w:eastAsia="MS Mincho"/>
      <w:lang w:eastAsia="ja-JP"/>
    </w:rPr>
  </w:style>
  <w:style w:type="paragraph" w:customStyle="1" w:styleId="List1indent2">
    <w:name w:val="List 1 indent 2"/>
    <w:basedOn w:val="Normal"/>
    <w:qFormat/>
    <w:pPr>
      <w:widowControl w:val="0"/>
      <w:tabs>
        <w:tab w:val="left" w:pos="567"/>
      </w:tabs>
      <w:spacing w:after="120"/>
      <w:ind w:left="567" w:hanging="567"/>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styleId="TableofFigures">
    <w:name w:val="table of figures"/>
    <w:basedOn w:val="Normal"/>
    <w:next w:val="Normal"/>
    <w:qFormat/>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pPr>
      <w:numPr>
        <w:numId w:val="10"/>
      </w:numPr>
      <w:spacing w:before="120" w:after="120"/>
      <w:jc w:val="center"/>
    </w:pPr>
    <w:rPr>
      <w:i/>
      <w:szCs w:val="20"/>
    </w:rPr>
  </w:style>
  <w:style w:type="paragraph" w:styleId="TOC1">
    <w:name w:val="toc 1"/>
    <w:basedOn w:val="Normal"/>
    <w:next w:val="Normal"/>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pPr>
      <w:ind w:left="880"/>
    </w:pPr>
    <w:rPr>
      <w:rFonts w:ascii="Times New Roman" w:eastAsia="Times New Roman" w:hAnsi="Times New Roman" w:cs="Times New Roman"/>
      <w:szCs w:val="24"/>
      <w:lang w:eastAsia="en-US"/>
    </w:rPr>
  </w:style>
  <w:style w:type="paragraph" w:styleId="TOC6">
    <w:name w:val="toc 6"/>
    <w:basedOn w:val="Normal"/>
    <w:next w:val="Normal"/>
    <w:autoRedefine/>
    <w:pPr>
      <w:ind w:left="1100"/>
    </w:pPr>
    <w:rPr>
      <w:rFonts w:ascii="Times New Roman" w:eastAsia="Times New Roman" w:hAnsi="Times New Roman" w:cs="Times New Roman"/>
      <w:szCs w:val="24"/>
      <w:lang w:eastAsia="en-US"/>
    </w:rPr>
  </w:style>
  <w:style w:type="paragraph" w:styleId="TOC7">
    <w:name w:val="toc 7"/>
    <w:basedOn w:val="Normal"/>
    <w:next w:val="Normal"/>
    <w:autoRedefine/>
    <w:pPr>
      <w:ind w:left="1200"/>
    </w:pPr>
    <w:rPr>
      <w:sz w:val="20"/>
      <w:szCs w:val="20"/>
    </w:rPr>
  </w:style>
  <w:style w:type="paragraph" w:styleId="TOC8">
    <w:name w:val="toc 8"/>
    <w:basedOn w:val="Normal"/>
    <w:next w:val="Normal"/>
    <w:autoRedefine/>
    <w:pPr>
      <w:ind w:left="1440"/>
    </w:pPr>
    <w:rPr>
      <w:sz w:val="20"/>
      <w:szCs w:val="20"/>
    </w:rPr>
  </w:style>
  <w:style w:type="paragraph" w:styleId="TOC9">
    <w:name w:val="toc 9"/>
    <w:basedOn w:val="Normal"/>
    <w:next w:val="Normal"/>
    <w:autoRedefine/>
    <w:pPr>
      <w:ind w:left="1680"/>
    </w:pPr>
    <w:rPr>
      <w:sz w:val="20"/>
      <w:szCs w:val="20"/>
    </w:rPr>
  </w:style>
  <w:style w:type="paragraph" w:styleId="BodyTextIndent">
    <w:name w:val="Body Text Indent"/>
    <w:basedOn w:val="Normal"/>
    <w:pPr>
      <w:spacing w:after="120"/>
      <w:ind w:left="567"/>
    </w:pPr>
  </w:style>
  <w:style w:type="paragraph" w:styleId="BodyTextIndent2">
    <w:name w:val="Body Text Indent 2"/>
    <w:basedOn w:val="Normal"/>
    <w:qFormat/>
    <w:pPr>
      <w:spacing w:after="120"/>
      <w:ind w:left="1134"/>
      <w:jc w:val="both"/>
    </w:pPr>
    <w:rPr>
      <w:lang w:eastAsia="de-DE"/>
    </w:rPr>
  </w:style>
  <w:style w:type="paragraph" w:styleId="FootnoteText">
    <w:name w:val="footnote text"/>
    <w:basedOn w:val="Normal"/>
    <w:rPr>
      <w:sz w:val="20"/>
      <w:szCs w:val="20"/>
    </w:rPr>
  </w:style>
  <w:style w:type="paragraph" w:styleId="Subtitle">
    <w:name w:val="Subtitle"/>
    <w:basedOn w:val="Normal"/>
    <w:uiPriority w:val="11"/>
    <w:qFormat/>
    <w:pPr>
      <w:spacing w:after="60"/>
      <w:jc w:val="center"/>
      <w:outlineLvl w:val="1"/>
    </w:pPr>
    <w:rPr>
      <w:rFonts w:cs="Arial"/>
    </w:rPr>
  </w:style>
  <w:style w:type="paragraph" w:styleId="Title">
    <w:name w:val="Title"/>
    <w:basedOn w:val="Normal"/>
    <w:uiPriority w:val="10"/>
    <w:qFormat/>
    <w:pPr>
      <w:spacing w:before="120" w:after="240"/>
      <w:jc w:val="center"/>
      <w:outlineLvl w:val="0"/>
    </w:pPr>
    <w:rPr>
      <w:rFonts w:cs="Arial"/>
      <w:b/>
      <w:bCs/>
      <w:kern w:val="2"/>
      <w:sz w:val="32"/>
      <w:szCs w:val="32"/>
    </w:rPr>
  </w:style>
  <w:style w:type="paragraph" w:customStyle="1" w:styleId="List1indent1">
    <w:name w:val="List 1 indent 1"/>
    <w:basedOn w:val="Normal"/>
    <w:qFormat/>
    <w:pPr>
      <w:tabs>
        <w:tab w:val="left" w:pos="567"/>
      </w:tabs>
      <w:spacing w:after="120"/>
      <w:ind w:left="567" w:hanging="567"/>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9"/>
      </w:numPr>
      <w:spacing w:after="120"/>
    </w:pPr>
    <w:rPr>
      <w:szCs w:val="20"/>
    </w:rPr>
  </w:style>
  <w:style w:type="paragraph" w:customStyle="1" w:styleId="AppendixHeading1">
    <w:name w:val="Appendix Heading 1"/>
    <w:basedOn w:val="Normal"/>
    <w:next w:val="BodyText"/>
    <w:qFormat/>
    <w:pPr>
      <w:numPr>
        <w:numId w:val="6"/>
      </w:numPr>
      <w:spacing w:before="120" w:after="120"/>
    </w:pPr>
    <w:rPr>
      <w:rFonts w:cs="Arial"/>
      <w:b/>
      <w:caps/>
      <w:sz w:val="24"/>
    </w:rPr>
  </w:style>
  <w:style w:type="paragraph" w:customStyle="1" w:styleId="AppendixHeading2">
    <w:name w:val="Appendix Heading 2"/>
    <w:basedOn w:val="Normal"/>
    <w:next w:val="BodyText"/>
    <w:qFormat/>
    <w:pPr>
      <w:tabs>
        <w:tab w:val="left" w:pos="567"/>
      </w:tabs>
      <w:spacing w:before="120" w:after="120"/>
      <w:ind w:left="567" w:hanging="567"/>
    </w:pPr>
    <w:rPr>
      <w:rFonts w:cs="Arial"/>
      <w:b/>
    </w:rPr>
  </w:style>
  <w:style w:type="paragraph" w:customStyle="1" w:styleId="AppendixHeading3">
    <w:name w:val="Appendix Heading 3"/>
    <w:basedOn w:val="Normal"/>
    <w:next w:val="Normal"/>
    <w:qFormat/>
    <w:pPr>
      <w:tabs>
        <w:tab w:val="left" w:pos="567"/>
      </w:tabs>
      <w:spacing w:before="120" w:after="120"/>
      <w:ind w:left="567" w:hanging="567"/>
    </w:pPr>
    <w:rPr>
      <w:rFonts w:cs="Arial"/>
    </w:rPr>
  </w:style>
  <w:style w:type="paragraph" w:customStyle="1" w:styleId="AppendixHeading4">
    <w:name w:val="Appendix Heading 4"/>
    <w:basedOn w:val="Normal"/>
    <w:next w:val="BodyText"/>
    <w:qFormat/>
    <w:pPr>
      <w:tabs>
        <w:tab w:val="left" w:pos="567"/>
      </w:tabs>
      <w:spacing w:before="120" w:after="120"/>
      <w:ind w:left="567" w:hanging="567"/>
    </w:pPr>
    <w:rPr>
      <w:rFonts w:cs="Arial"/>
    </w:rPr>
  </w:style>
  <w:style w:type="paragraph" w:customStyle="1" w:styleId="equation">
    <w:name w:val="equation"/>
    <w:basedOn w:val="Normal"/>
    <w:next w:val="BodyText"/>
    <w:qFormat/>
    <w:pPr>
      <w:keepNext/>
      <w:numPr>
        <w:numId w:val="12"/>
      </w:numPr>
      <w:tabs>
        <w:tab w:val="left" w:pos="142"/>
      </w:tabs>
      <w:spacing w:after="120"/>
      <w:jc w:val="right"/>
    </w:pPr>
    <w:rPr>
      <w:rFonts w:eastAsia="Times New Roman" w:cs="Times New Roman"/>
      <w:szCs w:val="24"/>
      <w:lang w:eastAsia="en-US"/>
    </w:rPr>
  </w:style>
  <w:style w:type="paragraph" w:styleId="Closing">
    <w:name w:val="Closing"/>
    <w:basedOn w:val="Normal"/>
    <w:next w:val="Normal"/>
    <w:qFormat/>
    <w:pPr>
      <w:numPr>
        <w:numId w:val="14"/>
      </w:numPr>
      <w:spacing w:before="120" w:after="240"/>
      <w:ind w:left="1985" w:hanging="1985"/>
    </w:pPr>
    <w:rPr>
      <w:b/>
      <w:sz w:val="24"/>
      <w:szCs w:val="28"/>
      <w:lang w:eastAsia="en-US"/>
    </w:rPr>
  </w:style>
  <w:style w:type="paragraph" w:styleId="BalloonText">
    <w:name w:val="Balloon Text"/>
    <w:basedOn w:val="Normal"/>
    <w:qFormat/>
    <w:rPr>
      <w:rFonts w:ascii="Tahoma" w:hAnsi="Tahoma" w:cs="Tahoma"/>
      <w:sz w:val="16"/>
      <w:szCs w:val="16"/>
    </w:rPr>
  </w:style>
  <w:style w:type="paragraph" w:styleId="ListParagraph">
    <w:name w:val="List Paragraph"/>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NormalWeb">
    <w:name w:val="Normal (Web)"/>
    <w:basedOn w:val="Normal"/>
    <w:qFormat/>
    <w:pPr>
      <w:spacing w:before="280" w:after="280"/>
    </w:pPr>
    <w:rPr>
      <w:rFonts w:ascii="Times New Roman" w:eastAsia="MS Mincho" w:hAnsi="Times New Roman" w:cs="Times New Roman"/>
      <w:sz w:val="24"/>
      <w:szCs w:val="24"/>
      <w:lang w:val="da-DK"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styleId="ArticleSection">
    <w:name w:val="Outline List 3"/>
    <w:qFormat/>
  </w:style>
  <w:style w:type="table" w:styleId="TableGrid">
    <w:name w:val="Table Grid"/>
    <w:basedOn w:val="TableNormal"/>
    <w:uiPriority w:val="39"/>
    <w:rsid w:val="00EF2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EF27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1">
    <w:name w:val="Grid Table 4 Accent 1"/>
    <w:basedOn w:val="TableNormal"/>
    <w:uiPriority w:val="49"/>
    <w:rsid w:val="00EF27A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EF27A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tif"/></Relationships>
</file>

<file path=word/_rels/header3.xml.rels><?xml version="1.0" encoding="UTF-8" standalone="yes"?>
<Relationships xmlns="http://schemas.openxmlformats.org/package/2006/relationships"><Relationship Id="rId1" Type="http://schemas.openxmlformats.org/officeDocument/2006/relationships/image" Target="media/image1.tif"/></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D92EC6-DCCE-43CD-9FEA-1FA32F7DAE0A}">
  <ds:schemaRefs>
    <ds:schemaRef ds:uri="http://schemas.microsoft.com/sharepoint/v3/contenttype/forms"/>
  </ds:schemaRefs>
</ds:datastoreItem>
</file>

<file path=customXml/itemProps2.xml><?xml version="1.0" encoding="utf-8"?>
<ds:datastoreItem xmlns:ds="http://schemas.openxmlformats.org/officeDocument/2006/customXml" ds:itemID="{D60BFBEA-5881-420E-B49C-ACA48D4C9896}">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213CD98D-DB3D-4A52-8ABA-990222DC0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762</Words>
  <Characters>4755</Characters>
  <Application>Microsoft Office Word</Application>
  <DocSecurity>0</DocSecurity>
  <Lines>161</Lines>
  <Paragraphs>102</Paragraphs>
  <ScaleCrop>false</ScaleCrop>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Alisa Nechyporuk</cp:lastModifiedBy>
  <cp:revision>40</cp:revision>
  <dcterms:created xsi:type="dcterms:W3CDTF">2026-02-18T08:50:00Z</dcterms:created>
  <dcterms:modified xsi:type="dcterms:W3CDTF">2026-03-13T20:26:00Z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GrammarlyDocumentId">
    <vt:lpwstr>f5e3d0c8-ee73-4c64-84c2-b5b02572fb1a</vt:lpwstr>
  </property>
</Properties>
</file>